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A0F53F" w14:textId="77777777" w:rsidR="007830BB" w:rsidRPr="00FA5885" w:rsidRDefault="008A660A" w:rsidP="00891C52">
      <w:pPr>
        <w:spacing w:after="480"/>
        <w:rPr>
          <w:b/>
          <w:bCs/>
          <w:lang w:val="en-GB"/>
        </w:rPr>
      </w:pPr>
      <w:r>
        <w:fldChar w:fldCharType="begin" w:fldLock="1"/>
      </w:r>
      <w:r>
        <w:instrText xml:space="preserve"> DOCPROPERTY  "ACTA NOVA:Erledigung.Geschäftszahl" \* MERGEFORMAT</w:instrText>
      </w:r>
      <w:r>
        <w:fldChar w:fldCharType="separate"/>
      </w:r>
      <w:r>
        <w:rPr>
          <w:b/>
          <w:bCs/>
          <w:lang w:val="en-GB"/>
        </w:rPr>
        <w:t>V CACM 06/23/1</w:t>
      </w:r>
      <w:r>
        <w:rPr>
          <w:b/>
          <w:bCs/>
          <w:lang w:val="en-GB"/>
        </w:rPr>
        <w:fldChar w:fldCharType="end"/>
      </w:r>
    </w:p>
    <w:p w14:paraId="2DED225E" w14:textId="77777777" w:rsidR="007830BB" w:rsidRPr="00FA5885" w:rsidRDefault="008A660A" w:rsidP="007830BB">
      <w:pPr>
        <w:pStyle w:val="KeinLeerraum"/>
        <w:rPr>
          <w:lang w:val="en-GB"/>
        </w:rPr>
      </w:pPr>
      <w:r>
        <w:fldChar w:fldCharType="begin" w:fldLock="1"/>
      </w:r>
      <w:r>
        <w:instrText xml:space="preserve"> DOCPROPERTY  "ACTA NOVA:Erledigung.Empfängername" \* MERGEFORMAT</w:instrText>
      </w:r>
      <w:r>
        <w:fldChar w:fldCharType="separate"/>
      </w:r>
      <w:r>
        <w:rPr>
          <w:lang w:val="en-GB"/>
        </w:rPr>
        <w:t>Austrian Power Grid AG</w:t>
      </w:r>
      <w:r>
        <w:rPr>
          <w:lang w:val="en-GB"/>
        </w:rPr>
        <w:fldChar w:fldCharType="end"/>
      </w:r>
    </w:p>
    <w:p w14:paraId="7D4C37A0" w14:textId="50F11A03" w:rsidR="007830BB" w:rsidRPr="002E68B8" w:rsidRDefault="00CD2316" w:rsidP="007830BB">
      <w:pPr>
        <w:pStyle w:val="KeinLeerraum"/>
      </w:pPr>
      <w:r>
        <w:t>Vorstand</w:t>
      </w:r>
      <w:r w:rsidR="008A660A">
        <w:fldChar w:fldCharType="begin" w:fldLock="1"/>
      </w:r>
      <w:r w:rsidR="008A660A">
        <w:instrText xml:space="preserve"> DOCPROPERTY  "ACTA NOVA:Erledigung.Empfängeransprechpartner" \* MERGEFORMAT</w:instrText>
      </w:r>
      <w:r w:rsidR="008A660A">
        <w:fldChar w:fldCharType="separate"/>
      </w:r>
      <w:r>
        <w:t xml:space="preserve"> </w:t>
      </w:r>
      <w:r w:rsidR="008A660A">
        <w:fldChar w:fldCharType="end"/>
      </w:r>
    </w:p>
    <w:p w14:paraId="6FFF0044" w14:textId="77777777" w:rsidR="007830BB" w:rsidRPr="00764F0B" w:rsidRDefault="008A660A" w:rsidP="007830BB">
      <w:pPr>
        <w:pStyle w:val="KeinLeerraum"/>
      </w:pPr>
      <w:r>
        <w:fldChar w:fldCharType="begin" w:fldLock="1"/>
      </w:r>
      <w:r>
        <w:instrText xml:space="preserve"> DOCPROPERTY  "ACTA NOVA:Erledigung.Empfängerstrasse" \* MERGEFORMAT</w:instrText>
      </w:r>
      <w:r>
        <w:fldChar w:fldCharType="separate"/>
      </w:r>
      <w:r>
        <w:t>Wagramerstraße</w:t>
      </w:r>
      <w:r>
        <w:fldChar w:fldCharType="end"/>
      </w:r>
      <w:r w:rsidR="007830BB" w:rsidRPr="00764F0B">
        <w:t xml:space="preserve"> </w:t>
      </w:r>
      <w:r>
        <w:fldChar w:fldCharType="begin" w:fldLock="1"/>
      </w:r>
      <w:r>
        <w:instrText xml:space="preserve"> DOCPROPERTY  "ACTA NOVA:Erledigung.Empfängerstrassenr" \* MERGEFORMAT</w:instrText>
      </w:r>
      <w:r>
        <w:fldChar w:fldCharType="separate"/>
      </w:r>
      <w:r>
        <w:t>19, IZD Tower</w:t>
      </w:r>
      <w:r>
        <w:fldChar w:fldCharType="end"/>
      </w:r>
    </w:p>
    <w:p w14:paraId="24BA1662" w14:textId="77777777" w:rsidR="007830BB" w:rsidRPr="00764F0B" w:rsidRDefault="008A660A" w:rsidP="007830BB">
      <w:pPr>
        <w:pStyle w:val="KeinLeerraum"/>
      </w:pPr>
      <w:r>
        <w:fldChar w:fldCharType="begin" w:fldLock="1"/>
      </w:r>
      <w:r>
        <w:instrText xml:space="preserve"> DOCPROPERTY  "ACTA NOVA:Erledigung.Empfängerplz" \* MERGEFORMAT</w:instrText>
      </w:r>
      <w:r>
        <w:fldChar w:fldCharType="separate"/>
      </w:r>
      <w:r>
        <w:t>1220</w:t>
      </w:r>
      <w:r>
        <w:fldChar w:fldCharType="end"/>
      </w:r>
      <w:r w:rsidR="007830BB" w:rsidRPr="00764F0B">
        <w:t xml:space="preserve"> </w:t>
      </w:r>
      <w:r>
        <w:fldChar w:fldCharType="begin" w:fldLock="1"/>
      </w:r>
      <w:r>
        <w:instrText xml:space="preserve"> DOCPROPERTY  "ACTA NOVA:Erledigung.Empfängerort" \* MERGEFORMAT</w:instrText>
      </w:r>
      <w:r>
        <w:fldChar w:fldCharType="separate"/>
      </w:r>
      <w:r>
        <w:t>Wien</w:t>
      </w:r>
      <w:r>
        <w:fldChar w:fldCharType="end"/>
      </w:r>
    </w:p>
    <w:p w14:paraId="11F973D0" w14:textId="77777777" w:rsidR="007830BB" w:rsidRDefault="008A660A" w:rsidP="007830BB">
      <w:pPr>
        <w:pStyle w:val="KeinLeerraum"/>
      </w:pPr>
      <w:r>
        <w:fldChar w:fldCharType="begin" w:fldLock="1"/>
      </w:r>
      <w:r>
        <w:instrText xml:space="preserve"> DOCPROPERTY  "ACTA NOVA:Erledigung.Empfängerland" \* MERGEFORMAT</w:instrText>
      </w:r>
      <w:r>
        <w:fldChar w:fldCharType="separate"/>
      </w:r>
      <w:r>
        <w:t>ÖSTERREICH</w:t>
      </w:r>
      <w:r>
        <w:fldChar w:fldCharType="end"/>
      </w:r>
    </w:p>
    <w:p w14:paraId="29DCAD9C" w14:textId="77777777" w:rsidR="007830BB" w:rsidRPr="00E550D5" w:rsidRDefault="007830BB" w:rsidP="007830BB">
      <w:pPr>
        <w:pStyle w:val="Titel"/>
      </w:pPr>
      <w:r w:rsidRPr="00E550D5">
        <w:t>Bescheid</w:t>
      </w:r>
    </w:p>
    <w:p w14:paraId="4008F2C6" w14:textId="17D864C6" w:rsidR="002E68B8" w:rsidRDefault="002E68B8" w:rsidP="002E68B8">
      <w:r w:rsidRPr="00622801">
        <w:t xml:space="preserve">In dem aufgrund des Antrags der </w:t>
      </w:r>
      <w:r>
        <w:t>Austrian Power Grid AG</w:t>
      </w:r>
      <w:r w:rsidRPr="007D6231">
        <w:rPr>
          <w:color w:val="000000"/>
        </w:rPr>
        <w:t xml:space="preserve"> </w:t>
      </w:r>
      <w:r w:rsidRPr="00622801">
        <w:t xml:space="preserve">vom </w:t>
      </w:r>
      <w:r>
        <w:t>22</w:t>
      </w:r>
      <w:r w:rsidRPr="008F7898">
        <w:t>.</w:t>
      </w:r>
      <w:r>
        <w:t>11</w:t>
      </w:r>
      <w:r w:rsidRPr="008F7898">
        <w:t>.2023</w:t>
      </w:r>
      <w:r>
        <w:t>, eingelangt bei der Regulierungsbehörde am 11.12.2023,</w:t>
      </w:r>
      <w:r w:rsidRPr="00622801">
        <w:t xml:space="preserve"> geführten Verfahren ergeht gemäß</w:t>
      </w:r>
      <w:r>
        <w:t xml:space="preserve"> Art. 9 Abs. 7 lit. a und Abs. 13 iVm </w:t>
      </w:r>
      <w:r w:rsidRPr="00D3465A">
        <w:t>Art</w:t>
      </w:r>
      <w:r>
        <w:t xml:space="preserve">. 20 Abs. 2 </w:t>
      </w:r>
      <w:r w:rsidRPr="00622801">
        <w:t>V</w:t>
      </w:r>
      <w:r>
        <w:t>erordnung </w:t>
      </w:r>
      <w:r w:rsidRPr="00622801">
        <w:t>(EU)</w:t>
      </w:r>
      <w:r>
        <w:t xml:space="preserve"> 2015/1222 zur Festlegung einer Leitlinie für die Kapazitätsvergabe und das Engpassmanagement, ABl. Nr. L 197 vom 25.7.2015, S. 24 </w:t>
      </w:r>
      <w:r w:rsidRPr="00EC31F5">
        <w:t>in der Fassung der Durchführungsverordnung</w:t>
      </w:r>
      <w:r>
        <w:t xml:space="preserve"> </w:t>
      </w:r>
      <w:r w:rsidRPr="00EC31F5">
        <w:t>(EU)</w:t>
      </w:r>
      <w:r>
        <w:t> </w:t>
      </w:r>
      <w:r w:rsidRPr="00EC31F5">
        <w:t>2021/280, ABl.</w:t>
      </w:r>
      <w:r>
        <w:t> </w:t>
      </w:r>
      <w:r w:rsidRPr="00EC31F5">
        <w:t>Nr.</w:t>
      </w:r>
      <w:r>
        <w:t> </w:t>
      </w:r>
      <w:r w:rsidRPr="00EC31F5">
        <w:t>L</w:t>
      </w:r>
      <w:r>
        <w:t> </w:t>
      </w:r>
      <w:r w:rsidRPr="00EC31F5">
        <w:t>62 vom 23.02.2021</w:t>
      </w:r>
      <w:r>
        <w:t>,</w:t>
      </w:r>
      <w:r w:rsidRPr="00EC31F5">
        <w:t xml:space="preserve"> S.</w:t>
      </w:r>
      <w:r>
        <w:t> </w:t>
      </w:r>
      <w:r w:rsidRPr="00EC31F5">
        <w:t>24</w:t>
      </w:r>
      <w:r>
        <w:t xml:space="preserve"> </w:t>
      </w:r>
      <w:r w:rsidRPr="00622801">
        <w:t>iVm</w:t>
      </w:r>
      <w:r>
        <w:t xml:space="preserve"> </w:t>
      </w:r>
      <w:r w:rsidRPr="00622801">
        <w:t>§ </w:t>
      </w:r>
      <w:r>
        <w:t>21 Abs. 1 Z 8 E-ControlG, BGBl I Nr. </w:t>
      </w:r>
      <w:r w:rsidRPr="00622801">
        <w:t>110/2010</w:t>
      </w:r>
      <w:r>
        <w:t> idF 7</w:t>
      </w:r>
      <w:r w:rsidRPr="00622801">
        <w:t>/20</w:t>
      </w:r>
      <w:r>
        <w:t>22</w:t>
      </w:r>
      <w:r w:rsidRPr="00622801">
        <w:t>, nachstehender</w:t>
      </w:r>
    </w:p>
    <w:p w14:paraId="325659AB" w14:textId="77777777" w:rsidR="002E68B8" w:rsidRPr="007E35C1" w:rsidRDefault="002E68B8" w:rsidP="002E68B8"/>
    <w:p w14:paraId="35BAB064" w14:textId="77777777" w:rsidR="002E68B8" w:rsidRPr="00B91976" w:rsidRDefault="002E68B8" w:rsidP="002E68B8">
      <w:pPr>
        <w:pStyle w:val="berschrift1"/>
      </w:pPr>
      <w:bookmarkStart w:id="0" w:name="_Toc152226271"/>
      <w:r w:rsidRPr="00B91976">
        <w:t>Spruch</w:t>
      </w:r>
      <w:bookmarkEnd w:id="0"/>
    </w:p>
    <w:p w14:paraId="560DB9CE" w14:textId="77777777" w:rsidR="002E68B8" w:rsidRDefault="002E68B8" w:rsidP="002E68B8">
      <w:r>
        <w:t>Die Regulierungsbehörde genehmigt die von Austrian Power Grid AG</w:t>
      </w:r>
      <w:r w:rsidRPr="007D6231">
        <w:rPr>
          <w:color w:val="000000"/>
        </w:rPr>
        <w:t xml:space="preserve"> </w:t>
      </w:r>
      <w:r>
        <w:t xml:space="preserve">gemeinsam mit allen Übertragungsnetzbetreibern der Kapazitätsberechnungsregion Core ausgearbeitete </w:t>
      </w:r>
      <w:r>
        <w:rPr>
          <w:lang w:val="de-DE"/>
        </w:rPr>
        <w:t>dritte</w:t>
      </w:r>
      <w:r w:rsidRPr="008F7898">
        <w:rPr>
          <w:lang w:val="de-DE"/>
        </w:rPr>
        <w:t xml:space="preserve"> Änderung der Methode für eine gemeinsame Kapazitätsberechnung für den Marktzeitbereich Day-Ahead gemäß Art. 20 Abs. 2 Verordnung (EU) 2015/1222 („</w:t>
      </w:r>
      <w:r w:rsidRPr="00DA1E24">
        <w:rPr>
          <w:i/>
          <w:iCs/>
          <w:noProof/>
          <w:lang w:val="de-DE" w:eastAsia="de-AT"/>
        </w:rPr>
        <w:t>T</w:t>
      </w:r>
      <w:r w:rsidRPr="00DA1E24">
        <w:rPr>
          <w:i/>
          <w:iCs/>
          <w:lang w:val="de-DE"/>
        </w:rPr>
        <w:t>hird Amendment of the Day-Ahead Capacity Calculation Methodology of the Core Capacity Calculation Region in accordance with Articles 20ff. of Commission Regulation 2015/1222 of 24 July 2015 establishing a Guideline on Capacity Allocation and Congestion Management, 8 December  2023</w:t>
      </w:r>
      <w:r w:rsidRPr="008F7898">
        <w:rPr>
          <w:lang w:val="de-DE"/>
        </w:rPr>
        <w:t xml:space="preserve">“, </w:t>
      </w:r>
      <w:r w:rsidRPr="008F7898">
        <w:rPr>
          <w:u w:val="single"/>
          <w:lang w:val="de-DE"/>
        </w:rPr>
        <w:t>Beilage./1</w:t>
      </w:r>
      <w:r w:rsidRPr="008F7898">
        <w:rPr>
          <w:lang w:val="de-DE"/>
        </w:rPr>
        <w:t xml:space="preserve">). </w:t>
      </w:r>
      <w:r>
        <w:t xml:space="preserve">Die </w:t>
      </w:r>
      <w:r w:rsidRPr="00A62643">
        <w:rPr>
          <w:u w:val="single"/>
        </w:rPr>
        <w:t>Beilage./1</w:t>
      </w:r>
      <w:r>
        <w:t xml:space="preserve"> bildet einen Bestandteil dieses Bescheides.</w:t>
      </w:r>
    </w:p>
    <w:p w14:paraId="679DE6A1" w14:textId="77777777" w:rsidR="002E68B8" w:rsidRDefault="002E68B8" w:rsidP="002E68B8">
      <w:pPr>
        <w:spacing w:before="100" w:after="200" w:line="276" w:lineRule="auto"/>
        <w:jc w:val="left"/>
      </w:pPr>
      <w:r>
        <w:br w:type="page"/>
      </w:r>
    </w:p>
    <w:p w14:paraId="2FA5A3AD" w14:textId="77777777" w:rsidR="002E68B8" w:rsidRDefault="002E68B8" w:rsidP="002E68B8">
      <w:pPr>
        <w:pStyle w:val="berschrift1"/>
      </w:pPr>
      <w:bookmarkStart w:id="1" w:name="_Toc152226272"/>
      <w:r w:rsidRPr="00B91976">
        <w:lastRenderedPageBreak/>
        <w:t>Begründung</w:t>
      </w:r>
      <w:bookmarkEnd w:id="1"/>
    </w:p>
    <w:p w14:paraId="008500FD" w14:textId="77777777" w:rsidR="002E68B8" w:rsidRPr="00FA5885" w:rsidRDefault="002E68B8" w:rsidP="002E68B8">
      <w:pPr>
        <w:pStyle w:val="berschrift2"/>
      </w:pPr>
      <w:bookmarkStart w:id="2" w:name="_Ref8990072"/>
      <w:bookmarkStart w:id="3" w:name="_Toc152226274"/>
      <w:r w:rsidRPr="00FA5885">
        <w:t>Regulatorischer Rahmen und rechtliche Grundlagen</w:t>
      </w:r>
      <w:bookmarkEnd w:id="2"/>
    </w:p>
    <w:p w14:paraId="098394EC" w14:textId="77777777" w:rsidR="002E68B8" w:rsidRDefault="002E68B8" w:rsidP="002E68B8">
      <w:r>
        <w:t>Die</w:t>
      </w:r>
      <w:r w:rsidRPr="008565E2">
        <w:t xml:space="preserve"> am 14.</w:t>
      </w:r>
      <w:r>
        <w:t>0</w:t>
      </w:r>
      <w:r w:rsidRPr="008565E2">
        <w:t>8.2015 in Kraft getretene Verordnung (EU)</w:t>
      </w:r>
      <w:r>
        <w:t> </w:t>
      </w:r>
      <w:r w:rsidRPr="008565E2">
        <w:t>2015/1222 zur Festlegung einer Leitlinie für die Kapazitätsvergabe und das Engpassmanagement, ABl</w:t>
      </w:r>
      <w:r>
        <w:t>.</w:t>
      </w:r>
      <w:r w:rsidRPr="008565E2">
        <w:t> </w:t>
      </w:r>
      <w:r>
        <w:t>Nr. </w:t>
      </w:r>
      <w:r w:rsidRPr="008565E2">
        <w:t>L 197 vom 25.7.2015, S. 24</w:t>
      </w:r>
      <w:r>
        <w:t xml:space="preserve">, </w:t>
      </w:r>
      <w:r w:rsidRPr="00EC31F5">
        <w:t>in der Fassung der Durchführungsverordnung</w:t>
      </w:r>
      <w:r>
        <w:t> </w:t>
      </w:r>
      <w:r w:rsidRPr="00EC31F5">
        <w:t>(EU)</w:t>
      </w:r>
      <w:r>
        <w:t> </w:t>
      </w:r>
      <w:r w:rsidRPr="00EC31F5">
        <w:t>Nr.</w:t>
      </w:r>
      <w:r>
        <w:t> </w:t>
      </w:r>
      <w:r w:rsidRPr="00EC31F5">
        <w:t>2021/280, ABl.</w:t>
      </w:r>
      <w:r>
        <w:t> </w:t>
      </w:r>
      <w:r w:rsidRPr="00EC31F5">
        <w:t>Nr.</w:t>
      </w:r>
      <w:r>
        <w:t> </w:t>
      </w:r>
      <w:r w:rsidRPr="00EC31F5">
        <w:t>L</w:t>
      </w:r>
      <w:r>
        <w:t> </w:t>
      </w:r>
      <w:r w:rsidRPr="00EC31F5">
        <w:t>62 vom 23.02.2021</w:t>
      </w:r>
      <w:r>
        <w:t>,</w:t>
      </w:r>
      <w:r w:rsidRPr="00EC31F5">
        <w:t xml:space="preserve"> S</w:t>
      </w:r>
      <w:r>
        <w:t>eite</w:t>
      </w:r>
      <w:r w:rsidRPr="00EC31F5">
        <w:t xml:space="preserve"> 24</w:t>
      </w:r>
      <w:r>
        <w:t xml:space="preserve"> </w:t>
      </w:r>
      <w:r w:rsidRPr="008565E2">
        <w:t>(</w:t>
      </w:r>
      <w:r w:rsidRPr="008565E2">
        <w:rPr>
          <w:b/>
        </w:rPr>
        <w:t>CACM-V</w:t>
      </w:r>
      <w:r w:rsidRPr="008565E2">
        <w:t xml:space="preserve">) </w:t>
      </w:r>
      <w:r>
        <w:t>zielt auf die</w:t>
      </w:r>
      <w:r w:rsidRPr="008565E2">
        <w:t xml:space="preserve"> Koordination und Harmonisierung der Kapazitätsberechnung und -vergabe in den grenzüberschreitenden Day-Ahead und Intraday-Märkten</w:t>
      </w:r>
      <w:r>
        <w:t xml:space="preserve"> ab</w:t>
      </w:r>
      <w:r w:rsidRPr="008565E2">
        <w:t>.</w:t>
      </w:r>
    </w:p>
    <w:p w14:paraId="17F4DF41" w14:textId="639EBBF2" w:rsidR="002E68B8" w:rsidRDefault="002E68B8" w:rsidP="002E68B8">
      <w:r>
        <w:t>Um dieses Ziel zu erreichen sieht Art. 14 CACM-V vor, dass alle Übertragungsnetzbetreiber (</w:t>
      </w:r>
      <w:r w:rsidRPr="0065640D">
        <w:rPr>
          <w:b/>
        </w:rPr>
        <w:t>ÜNB</w:t>
      </w:r>
      <w:r>
        <w:t>) einer Kapazitätsberechnungsregion (</w:t>
      </w:r>
      <w:r w:rsidRPr="00C604E2">
        <w:rPr>
          <w:b/>
          <w:bCs/>
        </w:rPr>
        <w:t>CCR</w:t>
      </w:r>
      <w:r>
        <w:t>) die zonenübergreifende Kapazität mindestes für den Day-Ahead-Marktzeitbereich (</w:t>
      </w:r>
      <w:r w:rsidRPr="003462CF">
        <w:rPr>
          <w:b/>
        </w:rPr>
        <w:t>DA-MZB</w:t>
      </w:r>
      <w:r>
        <w:t>) und Intraday-Marktzeitbereich (</w:t>
      </w:r>
      <w:r w:rsidRPr="003462CF">
        <w:rPr>
          <w:b/>
        </w:rPr>
        <w:t>ID-MZB</w:t>
      </w:r>
      <w:r>
        <w:t>) berechnen. Gemäß Art. 20 Abs. 1 CACM-V hat die zonenübergreifende Kapazitätsberechnung auf Basis eines lastflussbasierten (</w:t>
      </w:r>
      <w:r w:rsidRPr="00B02EF8">
        <w:rPr>
          <w:i/>
          <w:iCs/>
        </w:rPr>
        <w:t>flow based</w:t>
      </w:r>
      <w:r>
        <w:t xml:space="preserve"> (</w:t>
      </w:r>
      <w:r w:rsidRPr="00B02EF8">
        <w:rPr>
          <w:b/>
          <w:bCs/>
        </w:rPr>
        <w:t>FB</w:t>
      </w:r>
      <w:r>
        <w:t>)) Ansatzes zu erfolgen und ist von allen ÜNB einer CCR gemäß Art. 9 Abs. 1 CACM-V gemeinsam zu entwickeln und bei den zuständigen Regulierungsbehörden gemäß Art. 9 Abs. 7 lit. a CACM-V zur Genehmigung einzureichen.</w:t>
      </w:r>
    </w:p>
    <w:p w14:paraId="28258476" w14:textId="5B9D1FB5" w:rsidR="002E68B8" w:rsidRDefault="002E68B8" w:rsidP="002E68B8">
      <w:r>
        <w:t>Mit Entscheidung der Agentur für die Zusammenarbeit der Energieregulierungsbehörden (</w:t>
      </w:r>
      <w:r w:rsidRPr="007C0688">
        <w:rPr>
          <w:b/>
          <w:bCs/>
        </w:rPr>
        <w:t>ACER</w:t>
      </w:r>
      <w:r>
        <w:t>) Nr. 02/2019 vom 21.02.2019 wurde die gemeinsame Kapazitätsberechnungsmethode (</w:t>
      </w:r>
      <w:r w:rsidRPr="007C0688">
        <w:rPr>
          <w:b/>
          <w:bCs/>
        </w:rPr>
        <w:t>CCM</w:t>
      </w:r>
      <w:r>
        <w:t>) der CCR Core</w:t>
      </w:r>
      <w:r>
        <w:rPr>
          <w:rStyle w:val="Funotenzeichen"/>
        </w:rPr>
        <w:footnoteReference w:id="2"/>
      </w:r>
      <w:r>
        <w:t xml:space="preserve"> für den DA- und ID-MZB erstmalig genehmigt.</w:t>
      </w:r>
    </w:p>
    <w:p w14:paraId="42577BC5" w14:textId="77777777" w:rsidR="002E68B8" w:rsidRDefault="002E68B8" w:rsidP="002E68B8">
      <w:r>
        <w:t>Die erste Abänderung der CCM der CCR Core für den DA-MZB wurde mit Bescheid des Vorstandes vom 10.6.2021 zu GZ. V CACM 05/20 genehmigt.</w:t>
      </w:r>
    </w:p>
    <w:p w14:paraId="31340F0B" w14:textId="35D65911" w:rsidR="002E68B8" w:rsidRDefault="002E68B8" w:rsidP="002E68B8">
      <w:r>
        <w:t>Die zweite Abänderung der CCM der CCR Core für den DA-MZB wurde mit Bescheid des Vorstandes vom 21.12.2023 zu GZ. V CACM 03/23 genehmigt. Die CCM Core DA-MZB in der Version der zweiten Abänderung sieht vor, dass die ÜNB der CCR Core spätestens achtzehn Monate nach Inbetriebnahme, dies war der 08.12.2023, einen weiteren Änderungsvorschlag für die CCM der CCR Core für die DA-MZB gemäß Art. 9 Abs. 13 CACM-V</w:t>
      </w:r>
      <w:r w:rsidRPr="00E849EC">
        <w:t xml:space="preserve"> </w:t>
      </w:r>
      <w:r>
        <w:t>einbringen.</w:t>
      </w:r>
    </w:p>
    <w:p w14:paraId="3531EC51" w14:textId="77777777" w:rsidR="002E68B8" w:rsidRDefault="002E68B8" w:rsidP="002E68B8">
      <w:r>
        <w:t>Der gegenständliche Genehmigungsantrag betrifft diese dritte Abänderung der gemeinsamen CCM für den DA-MZB der CCR Core.</w:t>
      </w:r>
    </w:p>
    <w:p w14:paraId="5743B8AA" w14:textId="77777777" w:rsidR="002E68B8" w:rsidRPr="00FA5885" w:rsidRDefault="002E68B8" w:rsidP="002E68B8">
      <w:pPr>
        <w:pStyle w:val="berschrift2"/>
      </w:pPr>
      <w:bookmarkStart w:id="4" w:name="_Toc152226275"/>
      <w:bookmarkEnd w:id="3"/>
      <w:r w:rsidRPr="00FA5885">
        <w:lastRenderedPageBreak/>
        <w:t>Verfahrensablauf, Sachverhalt und Zulässigkeit des Antrags</w:t>
      </w:r>
    </w:p>
    <w:p w14:paraId="5C103868" w14:textId="77777777" w:rsidR="002E68B8" w:rsidRPr="00FA5885" w:rsidRDefault="002E68B8" w:rsidP="002E68B8">
      <w:pPr>
        <w:pStyle w:val="berschrift3"/>
      </w:pPr>
      <w:r w:rsidRPr="00FA5885">
        <w:t>Verfahrensverlauf</w:t>
      </w:r>
    </w:p>
    <w:p w14:paraId="7550E823" w14:textId="7B23B3BE" w:rsidR="002E68B8" w:rsidRDefault="002E68B8" w:rsidP="002E68B8">
      <w:r>
        <w:t xml:space="preserve">Mit Schreiben </w:t>
      </w:r>
      <w:r w:rsidRPr="00622801">
        <w:t xml:space="preserve">vom </w:t>
      </w:r>
      <w:r>
        <w:t>22.11</w:t>
      </w:r>
      <w:r w:rsidRPr="00622801">
        <w:t>.20</w:t>
      </w:r>
      <w:r>
        <w:t xml:space="preserve">23, eingelangt am 11.12.2023, </w:t>
      </w:r>
      <w:r w:rsidRPr="00622801">
        <w:t xml:space="preserve">hat </w:t>
      </w:r>
      <w:r>
        <w:rPr>
          <w:color w:val="000000"/>
        </w:rPr>
        <w:t>Austrian Power Grid</w:t>
      </w:r>
      <w:r w:rsidRPr="002A2DDC">
        <w:rPr>
          <w:color w:val="000000"/>
        </w:rPr>
        <w:t xml:space="preserve"> AG</w:t>
      </w:r>
      <w:r>
        <w:rPr>
          <w:color w:val="000000"/>
        </w:rPr>
        <w:t xml:space="preserve"> </w:t>
      </w:r>
      <w:r>
        <w:t>(</w:t>
      </w:r>
      <w:r>
        <w:rPr>
          <w:b/>
        </w:rPr>
        <w:t>APG</w:t>
      </w:r>
      <w:r>
        <w:t>) den gemeinsam von allen ÜNB der CCR Core erarbeiteten Vorschlag für die dritte Änderung</w:t>
      </w:r>
      <w:bookmarkStart w:id="5" w:name="_Hlk52813188"/>
      <w:r>
        <w:t xml:space="preserve"> der </w:t>
      </w:r>
      <w:r w:rsidRPr="00431695">
        <w:t xml:space="preserve">Methode </w:t>
      </w:r>
      <w:r>
        <w:t xml:space="preserve">für die gemeinsame zonenübergreifende Kapazitätsberechnung der CCR Core für den DA-MZB </w:t>
      </w:r>
      <w:bookmarkEnd w:id="5"/>
      <w:r>
        <w:t>bei der Regulierungsbehörde zur Genehmigung eingebracht (</w:t>
      </w:r>
      <w:r w:rsidRPr="00CB3740">
        <w:rPr>
          <w:b/>
          <w:bCs/>
        </w:rPr>
        <w:t>ÜNB</w:t>
      </w:r>
      <w:r>
        <w:t xml:space="preserve"> </w:t>
      </w:r>
      <w:r w:rsidRPr="004B124D">
        <w:rPr>
          <w:b/>
          <w:bCs/>
        </w:rPr>
        <w:t xml:space="preserve">Vorschlag </w:t>
      </w:r>
      <w:r>
        <w:rPr>
          <w:b/>
          <w:bCs/>
        </w:rPr>
        <w:t>CCM Core</w:t>
      </w:r>
      <w:r>
        <w:t>).</w:t>
      </w:r>
    </w:p>
    <w:p w14:paraId="3BE6784F" w14:textId="77777777" w:rsidR="002E68B8" w:rsidRDefault="002E68B8" w:rsidP="002E68B8">
      <w:pPr>
        <w:rPr>
          <w:lang w:val="en-GB"/>
        </w:rPr>
      </w:pPr>
      <w:bookmarkStart w:id="6" w:name="_Hlk25141316"/>
      <w:r w:rsidRPr="003F2728">
        <w:rPr>
          <w:lang w:val="en-GB"/>
        </w:rPr>
        <w:t xml:space="preserve">Die gemäß Art. 9 Abs. 10 CACM-V erforderliche Einigung zwischen den zuständigen Regulierungsbehörden der CCR Core wurde am </w:t>
      </w:r>
      <w:r>
        <w:rPr>
          <w:lang w:val="en-GB"/>
        </w:rPr>
        <w:t>01</w:t>
      </w:r>
      <w:r w:rsidRPr="003F2728">
        <w:rPr>
          <w:lang w:val="en-GB"/>
        </w:rPr>
        <w:t>.</w:t>
      </w:r>
      <w:r>
        <w:rPr>
          <w:lang w:val="en-GB"/>
        </w:rPr>
        <w:t>07</w:t>
      </w:r>
      <w:r w:rsidRPr="003F2728">
        <w:rPr>
          <w:lang w:val="en-GB"/>
        </w:rPr>
        <w:t>.202</w:t>
      </w:r>
      <w:r>
        <w:rPr>
          <w:lang w:val="en-GB"/>
        </w:rPr>
        <w:t>4</w:t>
      </w:r>
      <w:r w:rsidRPr="003F2728">
        <w:rPr>
          <w:lang w:val="en-GB"/>
        </w:rPr>
        <w:t xml:space="preserve"> im Rahmen der „Core Implementation Group“ erzielt und ist in einem diesem Bescheid als </w:t>
      </w:r>
      <w:r w:rsidRPr="003F2728">
        <w:rPr>
          <w:u w:val="single"/>
          <w:lang w:val="en-GB"/>
        </w:rPr>
        <w:t>Beilage./2</w:t>
      </w:r>
      <w:r w:rsidRPr="003F2728">
        <w:rPr>
          <w:lang w:val="en-GB"/>
        </w:rPr>
        <w:t xml:space="preserve"> beigefügten Positionspapier zusammengefasst</w:t>
      </w:r>
      <w:r w:rsidRPr="003B2B4D">
        <w:rPr>
          <w:lang w:val="en-GB"/>
        </w:rPr>
        <w:t xml:space="preserve"> („</w:t>
      </w:r>
      <w:bookmarkStart w:id="7" w:name="_Hlk73098567"/>
      <w:r>
        <w:rPr>
          <w:i/>
          <w:iCs/>
          <w:lang w:val="en-GB"/>
        </w:rPr>
        <w:t>Agreement by</w:t>
      </w:r>
      <w:r w:rsidRPr="003B2B4D">
        <w:rPr>
          <w:i/>
          <w:iCs/>
          <w:lang w:val="en-GB"/>
        </w:rPr>
        <w:t xml:space="preserve"> the Core</w:t>
      </w:r>
      <w:r>
        <w:rPr>
          <w:i/>
          <w:iCs/>
          <w:lang w:val="en-GB"/>
        </w:rPr>
        <w:t xml:space="preserve"> CCR</w:t>
      </w:r>
      <w:r w:rsidRPr="003B2B4D">
        <w:rPr>
          <w:i/>
          <w:iCs/>
          <w:lang w:val="en-GB"/>
        </w:rPr>
        <w:t xml:space="preserve"> Regulatory Authorities on the </w:t>
      </w:r>
      <w:r>
        <w:rPr>
          <w:i/>
          <w:iCs/>
          <w:lang w:val="en-GB"/>
        </w:rPr>
        <w:t>third Amendment of the Day-Ahead Capacity Calculation Methodology of the Core Capacity Calculation Region</w:t>
      </w:r>
      <w:r w:rsidRPr="003B2B4D">
        <w:rPr>
          <w:i/>
          <w:iCs/>
          <w:lang w:val="en-GB"/>
        </w:rPr>
        <w:t xml:space="preserve"> in accordance with Article</w:t>
      </w:r>
      <w:r>
        <w:rPr>
          <w:i/>
          <w:iCs/>
          <w:lang w:val="en-GB"/>
        </w:rPr>
        <w:t>s</w:t>
      </w:r>
      <w:r w:rsidRPr="003B2B4D">
        <w:rPr>
          <w:i/>
          <w:iCs/>
          <w:lang w:val="en-GB"/>
        </w:rPr>
        <w:t xml:space="preserve"> 2</w:t>
      </w:r>
      <w:r>
        <w:rPr>
          <w:i/>
          <w:iCs/>
          <w:lang w:val="en-GB"/>
        </w:rPr>
        <w:t>0ff.</w:t>
      </w:r>
      <w:r w:rsidRPr="003B2B4D">
        <w:rPr>
          <w:i/>
          <w:iCs/>
          <w:lang w:val="en-GB"/>
        </w:rPr>
        <w:t xml:space="preserve"> of Commission Regulation 2015/1222 of 24 July 2015 establishing a Guideline on Capacity Allocation and Congestion Management, </w:t>
      </w:r>
      <w:r>
        <w:rPr>
          <w:i/>
          <w:iCs/>
          <w:lang w:val="en-GB"/>
        </w:rPr>
        <w:t xml:space="preserve"> 1 July  202</w:t>
      </w:r>
      <w:bookmarkEnd w:id="7"/>
      <w:r>
        <w:rPr>
          <w:i/>
          <w:iCs/>
          <w:lang w:val="en-GB"/>
        </w:rPr>
        <w:t>4”</w:t>
      </w:r>
      <w:r w:rsidRPr="003B2B4D">
        <w:rPr>
          <w:lang w:val="en-GB"/>
        </w:rPr>
        <w:t>).</w:t>
      </w:r>
    </w:p>
    <w:p w14:paraId="13A23044" w14:textId="77777777" w:rsidR="002E68B8" w:rsidRDefault="002E68B8" w:rsidP="002E68B8">
      <w:r w:rsidRPr="0074154F">
        <w:t>Diese</w:t>
      </w:r>
      <w:r>
        <w:t>s</w:t>
      </w:r>
      <w:r w:rsidRPr="0074154F">
        <w:t xml:space="preserve"> Positionspapier </w:t>
      </w:r>
      <w:r>
        <w:t>enthält</w:t>
      </w:r>
      <w:r w:rsidRPr="0074154F">
        <w:t xml:space="preserve"> die</w:t>
      </w:r>
      <w:r>
        <w:t xml:space="preserve"> inhaltliche Würdigung des gegenständlichen Genehmigungsantrages und ist somit</w:t>
      </w:r>
      <w:r w:rsidRPr="0074154F">
        <w:t xml:space="preserve"> Grundlage für die jeweiligen nationalen Genehmigungen</w:t>
      </w:r>
      <w:r>
        <w:t xml:space="preserve"> der Regulierungsbehörden der CCR Core.</w:t>
      </w:r>
    </w:p>
    <w:p w14:paraId="502251B5" w14:textId="77777777" w:rsidR="002E68B8" w:rsidRDefault="002E68B8" w:rsidP="002E68B8">
      <w:pPr>
        <w:pStyle w:val="berschrift3"/>
        <w:spacing w:before="0" w:after="0"/>
      </w:pPr>
      <w:r>
        <w:t>Sachverhalt</w:t>
      </w:r>
    </w:p>
    <w:bookmarkEnd w:id="6"/>
    <w:p w14:paraId="27192D83" w14:textId="77777777" w:rsidR="00A5430A" w:rsidRDefault="002E68B8" w:rsidP="002E68B8">
      <w:r w:rsidRPr="008565E2">
        <w:t>Die Antragstellerin ist Regelzonenführer iSd § 7 Abs. 1 Z 60 ElWOG 2010 und betreibt gemäß § 23 Abs. 1 ElWOG</w:t>
      </w:r>
      <w:r>
        <w:t> </w:t>
      </w:r>
      <w:r w:rsidRPr="008565E2">
        <w:t>2010 auf Basis eines Kooperationsabkommens auch die Regelzone der Vorarlberger Übertragungsnetz GmbH (</w:t>
      </w:r>
      <w:r w:rsidRPr="008565E2">
        <w:rPr>
          <w:b/>
        </w:rPr>
        <w:t>VUEN</w:t>
      </w:r>
      <w:r w:rsidRPr="008565E2">
        <w:t>). Vor diesem Hintergrund treffen die Antragstellerin die in § 23 Abs. 2 Z 1 bis 25 ElWOG 2010 festgelegten Pflichten für Regelzonenführer.</w:t>
      </w:r>
    </w:p>
    <w:p w14:paraId="162CF49A" w14:textId="205990EA" w:rsidR="002E68B8" w:rsidRDefault="002E68B8" w:rsidP="002E68B8">
      <w:r w:rsidRPr="008565E2">
        <w:lastRenderedPageBreak/>
        <w:t>APG ist weiters LFR-Block-Beobachter</w:t>
      </w:r>
      <w:r w:rsidRPr="008565E2">
        <w:rPr>
          <w:rStyle w:val="Funotenzeichen"/>
        </w:rPr>
        <w:footnoteReference w:id="3"/>
      </w:r>
      <w:r w:rsidRPr="008565E2">
        <w:t xml:space="preserve"> iSd Art. 3 Abs. 2 Z 139 SO-V</w:t>
      </w:r>
      <w:r w:rsidRPr="008565E2">
        <w:rPr>
          <w:rStyle w:val="Funotenzeichen"/>
        </w:rPr>
        <w:footnoteReference w:id="4"/>
      </w:r>
      <w:r w:rsidRPr="008565E2">
        <w:t xml:space="preserve"> des Leistungs-Frequenz-Regelblocks</w:t>
      </w:r>
      <w:r w:rsidRPr="008565E2">
        <w:rPr>
          <w:rStyle w:val="Funotenzeichen"/>
        </w:rPr>
        <w:footnoteReference w:id="5"/>
      </w:r>
      <w:r w:rsidRPr="008565E2">
        <w:t xml:space="preserve"> „APG“, der einzig aus der Leistungsfrequenz-Regelzone</w:t>
      </w:r>
      <w:r w:rsidRPr="008565E2">
        <w:rPr>
          <w:rStyle w:val="Funotenzeichen"/>
        </w:rPr>
        <w:footnoteReference w:id="6"/>
      </w:r>
      <w:r w:rsidRPr="008565E2">
        <w:t xml:space="preserve"> „APG“ besteht, welche schließlich wiederum bloß aus dem Monitoring-Gebiet</w:t>
      </w:r>
      <w:r w:rsidRPr="008565E2">
        <w:rPr>
          <w:rStyle w:val="Funotenzeichen"/>
        </w:rPr>
        <w:footnoteReference w:id="7"/>
      </w:r>
      <w:r w:rsidRPr="008565E2">
        <w:t xml:space="preserve"> „APG“ besteht.</w:t>
      </w:r>
    </w:p>
    <w:p w14:paraId="55B079CE" w14:textId="77777777" w:rsidR="002E68B8" w:rsidRDefault="002E68B8" w:rsidP="002E68B8">
      <w:r w:rsidRPr="008565E2">
        <w:t xml:space="preserve">Dies ist in Artikel 3 der Methode für ein gemeinsames Netzmodell der ÜNB des Synchrongebietes Kontinentaleuropa gemäß Art. 141 Abs. 2 SO-V – genehmigt durch Bescheid der Regulierungsbehörde vom </w:t>
      </w:r>
      <w:r>
        <w:t>16</w:t>
      </w:r>
      <w:r w:rsidRPr="008565E2">
        <w:t>.</w:t>
      </w:r>
      <w:r>
        <w:t>3</w:t>
      </w:r>
      <w:r w:rsidRPr="008565E2">
        <w:t>.20</w:t>
      </w:r>
      <w:r>
        <w:t>22</w:t>
      </w:r>
      <w:r w:rsidRPr="008565E2">
        <w:t xml:space="preserve"> zu GZ V </w:t>
      </w:r>
      <w:r>
        <w:t>SO</w:t>
      </w:r>
      <w:r w:rsidRPr="008565E2">
        <w:t xml:space="preserve"> 01/</w:t>
      </w:r>
      <w:r>
        <w:t>21</w:t>
      </w:r>
      <w:r w:rsidRPr="008565E2">
        <w:t xml:space="preserve"> – festgelegt.</w:t>
      </w:r>
    </w:p>
    <w:p w14:paraId="6E3DC713" w14:textId="77777777" w:rsidR="002E68B8" w:rsidRDefault="002E68B8" w:rsidP="002E68B8">
      <w:r w:rsidRPr="008565E2">
        <w:t>Als LFR-Block-Beobachter werden APG gemäß Art. 3 Abs. 2 Z 139 SO-V auf unionaler Ebene – vergleichbar mit § 23 Abs. 2 ElWOG</w:t>
      </w:r>
      <w:r>
        <w:t> </w:t>
      </w:r>
      <w:r w:rsidRPr="008565E2">
        <w:t xml:space="preserve">2010 auf nationaler Ebene – die Aufgaben eines RZF übertragen. </w:t>
      </w:r>
    </w:p>
    <w:p w14:paraId="530B0BAD" w14:textId="77777777" w:rsidR="002E68B8" w:rsidRDefault="002E68B8" w:rsidP="002E68B8">
      <w:r>
        <w:t>Der</w:t>
      </w:r>
      <w:r w:rsidRPr="00622801" w:rsidDel="007D2432">
        <w:t xml:space="preserve"> von allen </w:t>
      </w:r>
      <w:r w:rsidDel="007D2432">
        <w:t>ÜNB de</w:t>
      </w:r>
      <w:r>
        <w:t xml:space="preserve">r CCR Core </w:t>
      </w:r>
      <w:r w:rsidDel="007D2432">
        <w:t>erstellte</w:t>
      </w:r>
      <w:r>
        <w:t xml:space="preserve"> Vorschlag CCM Core </w:t>
      </w:r>
      <w:r w:rsidRPr="00622801" w:rsidDel="007D2432">
        <w:t xml:space="preserve">wurde von </w:t>
      </w:r>
      <w:r>
        <w:t>diesen</w:t>
      </w:r>
      <w:r w:rsidRPr="00622801" w:rsidDel="007D2432">
        <w:t xml:space="preserve"> ÜNB</w:t>
      </w:r>
      <w:r w:rsidDel="007D2432">
        <w:t xml:space="preserve"> </w:t>
      </w:r>
      <w:r w:rsidRPr="00622801" w:rsidDel="007D2432">
        <w:t>vo</w:t>
      </w:r>
      <w:r>
        <w:t>m</w:t>
      </w:r>
      <w:r w:rsidRPr="00622801" w:rsidDel="007D2432">
        <w:t xml:space="preserve"> </w:t>
      </w:r>
      <w:r>
        <w:t>22</w:t>
      </w:r>
      <w:r w:rsidRPr="008565E2" w:rsidDel="007D2432">
        <w:t>.</w:t>
      </w:r>
      <w:r>
        <w:t>09</w:t>
      </w:r>
      <w:r w:rsidRPr="008565E2" w:rsidDel="007D2432">
        <w:t>.20</w:t>
      </w:r>
      <w:r>
        <w:t>23</w:t>
      </w:r>
      <w:r w:rsidRPr="008565E2" w:rsidDel="007D2432">
        <w:t xml:space="preserve"> bis </w:t>
      </w:r>
      <w:r>
        <w:t>25</w:t>
      </w:r>
      <w:r w:rsidRPr="008565E2" w:rsidDel="007D2432">
        <w:t>.</w:t>
      </w:r>
      <w:r>
        <w:t>10</w:t>
      </w:r>
      <w:r w:rsidRPr="008565E2" w:rsidDel="007D2432">
        <w:t>.20</w:t>
      </w:r>
      <w:r>
        <w:t>23</w:t>
      </w:r>
      <w:r w:rsidRPr="008565E2" w:rsidDel="007D2432">
        <w:t xml:space="preserve"> </w:t>
      </w:r>
      <w:r w:rsidDel="007D2432">
        <w:t>veröffentlicht und</w:t>
      </w:r>
      <w:r w:rsidRPr="00622801" w:rsidDel="007D2432">
        <w:t xml:space="preserve"> konsultiert</w:t>
      </w:r>
      <w:r w:rsidDel="007D2432">
        <w:t xml:space="preserve"> und </w:t>
      </w:r>
      <w:r>
        <w:t xml:space="preserve">anschließend </w:t>
      </w:r>
      <w:r w:rsidDel="007D2432">
        <w:t>bei den betroffenen Regulierungsbehörden zur Genehmigung eingebracht</w:t>
      </w:r>
      <w:r>
        <w:t>, wobei die letzte zuständige Regulierungsbehörde den Antrag am 06.02.2024 erhalten hat</w:t>
      </w:r>
      <w:r w:rsidDel="007D2432">
        <w:t>.</w:t>
      </w:r>
    </w:p>
    <w:p w14:paraId="69CBDBB7" w14:textId="77777777" w:rsidR="002E68B8" w:rsidRDefault="002E68B8" w:rsidP="002E68B8">
      <w:pPr>
        <w:pStyle w:val="berschrift2"/>
      </w:pPr>
      <w:r>
        <w:t xml:space="preserve">Rechtliche </w:t>
      </w:r>
      <w:r w:rsidRPr="005B61AD">
        <w:t>Beurteilung</w:t>
      </w:r>
      <w:bookmarkEnd w:id="4"/>
    </w:p>
    <w:p w14:paraId="4CB8DC96" w14:textId="77777777" w:rsidR="002E68B8" w:rsidRDefault="002E68B8" w:rsidP="002E68B8">
      <w:bookmarkStart w:id="8" w:name="_Toc152226276"/>
      <w:r>
        <w:t>Art. 21 Abs. 1 CACM-V enthält die Vorgaben für die gemäß Art. 20 Abs. 2 CACM-V zu entwickelnde CCM. Diese Vorgaben wurden bereits in den vorgenehmigten Versionen der gegenständlichen CCM für die CCR Core berücksichtigt.</w:t>
      </w:r>
    </w:p>
    <w:p w14:paraId="6AF34FEA" w14:textId="23B386AC" w:rsidR="002E68B8" w:rsidRDefault="002E68B8" w:rsidP="002E68B8">
      <w:r>
        <w:t xml:space="preserve">Der gegenständliche Genehmigungsantrag für die dritte Änderung der CCM der CCR Core für den DA-MZB basiert auf der in Art. 28 Abs. 3 der CCM Core für den DA-MZB in der Version der zweiten Abänderung (vgl. dazu Bescheid des Vorstandes vom 21.12.2023 zu GZ. V CACM 03/23) enthaltenen Verpflichtung der Core ÜNB einen erneuten Abänderungsantrag für die </w:t>
      </w:r>
      <w:r>
        <w:lastRenderedPageBreak/>
        <w:t>CCM Core für den DA-MZB einzubringen. Dieser erneute (dritte) Abänderungsantrag soll Anpassungen und Änderungen zu folgenden Themenbereichen enthalten:</w:t>
      </w:r>
    </w:p>
    <w:p w14:paraId="134DB3A7" w14:textId="77777777" w:rsidR="002E68B8" w:rsidRDefault="002E68B8" w:rsidP="002E68B8">
      <w:pPr>
        <w:pStyle w:val="Listenabsatz"/>
        <w:numPr>
          <w:ilvl w:val="0"/>
          <w:numId w:val="28"/>
        </w:numPr>
      </w:pPr>
      <w:r>
        <w:t>Koordinierte Validierung der Kapazitätsberechnungsergebnisse</w:t>
      </w:r>
    </w:p>
    <w:p w14:paraId="26F1DA06" w14:textId="77777777" w:rsidR="002E68B8" w:rsidRPr="002C78E5" w:rsidRDefault="002E68B8" w:rsidP="002E68B8">
      <w:pPr>
        <w:pStyle w:val="Listenabsatz"/>
        <w:numPr>
          <w:ilvl w:val="0"/>
          <w:numId w:val="28"/>
        </w:numPr>
        <w:rPr>
          <w:lang w:val="de-DE"/>
        </w:rPr>
      </w:pPr>
      <w:r>
        <w:rPr>
          <w:lang w:val="de-DE"/>
        </w:rPr>
        <w:t xml:space="preserve">Die </w:t>
      </w:r>
      <w:r w:rsidRPr="002C78E5">
        <w:rPr>
          <w:lang w:val="de-DE"/>
        </w:rPr>
        <w:t>Zuverlässigkeitsmarge (Flow Reliability Margin (FRM)) soll einheitlich auf 10 % der maximalen Lastflüsse je</w:t>
      </w:r>
      <w:r>
        <w:rPr>
          <w:lang w:val="de-DE"/>
        </w:rPr>
        <w:t xml:space="preserve"> kritischer</w:t>
      </w:r>
      <w:r w:rsidRPr="002C78E5">
        <w:rPr>
          <w:lang w:val="de-DE"/>
        </w:rPr>
        <w:t xml:space="preserve"> Netzelement festgelegt werden.</w:t>
      </w:r>
    </w:p>
    <w:p w14:paraId="2745CF2E" w14:textId="77777777" w:rsidR="002E68B8" w:rsidRPr="002C78E5" w:rsidRDefault="002E68B8" w:rsidP="002E68B8">
      <w:pPr>
        <w:pStyle w:val="Listenabsatz"/>
        <w:numPr>
          <w:ilvl w:val="0"/>
          <w:numId w:val="28"/>
        </w:numPr>
        <w:rPr>
          <w:lang w:val="de-DE"/>
        </w:rPr>
      </w:pPr>
      <w:r w:rsidRPr="002C78E5">
        <w:rPr>
          <w:lang w:val="de-DE"/>
        </w:rPr>
        <w:t>Vergabebeschränkungen (Allocation Constraints)</w:t>
      </w:r>
    </w:p>
    <w:p w14:paraId="3C29D7A0" w14:textId="77777777" w:rsidR="002E68B8" w:rsidRDefault="002E68B8" w:rsidP="002E68B8">
      <w:r w:rsidRPr="00656D88">
        <w:rPr>
          <w:lang w:val="de-DE"/>
        </w:rPr>
        <w:t xml:space="preserve">Art. 9 Abs. 5 CACM-V </w:t>
      </w:r>
      <w:r>
        <w:rPr>
          <w:lang w:val="de-DE"/>
        </w:rPr>
        <w:t xml:space="preserve">iVm </w:t>
      </w:r>
      <w:r>
        <w:t xml:space="preserve">Art. 5 Abs. 6 ACER-V </w:t>
      </w:r>
      <w:r w:rsidRPr="00656D88">
        <w:rPr>
          <w:lang w:val="de-DE"/>
        </w:rPr>
        <w:t>sie</w:t>
      </w:r>
      <w:r>
        <w:rPr>
          <w:lang w:val="de-DE"/>
        </w:rPr>
        <w:t xml:space="preserve">ht vor, dass </w:t>
      </w:r>
      <w:r>
        <w:t>vor der Genehmigung der in Art. 9 Abs. 6 bis 8 CACM-V angeführten Modalitäten oder Methoden die zuständigen Regulierungsbehörden die Vorschläge nach Konsultation der jeweiligen ÜNB überarbeiten können. Solche Überarbeitungen waren auf Basis des gegenständlichen Genehmigungsantrags nicht notwendig.</w:t>
      </w:r>
    </w:p>
    <w:p w14:paraId="2C41ECA5" w14:textId="77777777" w:rsidR="002E68B8" w:rsidRPr="00830504" w:rsidRDefault="002E68B8" w:rsidP="002E68B8">
      <w:pPr>
        <w:rPr>
          <w:lang w:val="de-DE"/>
        </w:rPr>
      </w:pPr>
      <w:r w:rsidRPr="00830504">
        <w:rPr>
          <w:lang w:val="de-DE"/>
        </w:rPr>
        <w:t xml:space="preserve">Die gemäß Art. 9 Abs. 10 CACM-V erforderliche Einigung der zuständigen Regulierungsbehörden der CCR Core wurde am 01.07.2024 erzielt und ist in </w:t>
      </w:r>
      <w:r>
        <w:rPr>
          <w:lang w:val="de-DE"/>
        </w:rPr>
        <w:t>dem</w:t>
      </w:r>
      <w:r w:rsidRPr="00830504">
        <w:rPr>
          <w:lang w:val="de-DE"/>
        </w:rPr>
        <w:t xml:space="preserve"> diesem Bescheid als </w:t>
      </w:r>
      <w:r w:rsidRPr="00830504">
        <w:rPr>
          <w:u w:val="single"/>
          <w:lang w:val="de-DE"/>
        </w:rPr>
        <w:t>Beilage./2</w:t>
      </w:r>
      <w:r w:rsidRPr="00830504">
        <w:rPr>
          <w:lang w:val="de-DE"/>
        </w:rPr>
        <w:t xml:space="preserve"> beigefügten Positionspapier</w:t>
      </w:r>
      <w:r>
        <w:rPr>
          <w:lang w:val="de-DE"/>
        </w:rPr>
        <w:t xml:space="preserve"> ersichtlich</w:t>
      </w:r>
      <w:r w:rsidRPr="00830504">
        <w:rPr>
          <w:lang w:val="de-DE"/>
        </w:rPr>
        <w:t xml:space="preserve">. </w:t>
      </w:r>
      <w:r>
        <w:rPr>
          <w:lang w:val="de-DE"/>
        </w:rPr>
        <w:t>Eine detaillierte Ausführung zu den genehmigungsgegenständlichen Punkten ist darin enthalten.</w:t>
      </w:r>
    </w:p>
    <w:p w14:paraId="78202F69" w14:textId="77777777" w:rsidR="002E68B8" w:rsidRDefault="002E68B8" w:rsidP="002E68B8">
      <w:r>
        <w:t>Weiters haben die</w:t>
      </w:r>
      <w:r w:rsidRPr="00622801">
        <w:t xml:space="preserve"> </w:t>
      </w:r>
      <w:r>
        <w:t>ÜNB der CCR Core den Vorschlag CCM Core gemäß Art. 12 Abs. 1 CACM</w:t>
      </w:r>
      <w:r>
        <w:noBreakHyphen/>
        <w:t>V veröffentlicht und im Zeitraum vom</w:t>
      </w:r>
      <w:r w:rsidRPr="00622801">
        <w:t xml:space="preserve"> </w:t>
      </w:r>
      <w:r>
        <w:t>22</w:t>
      </w:r>
      <w:r w:rsidRPr="008565E2" w:rsidDel="007D2432">
        <w:t>.</w:t>
      </w:r>
      <w:r>
        <w:t>09</w:t>
      </w:r>
      <w:r w:rsidRPr="008565E2" w:rsidDel="007D2432">
        <w:t>.20</w:t>
      </w:r>
      <w:r>
        <w:t>23</w:t>
      </w:r>
      <w:r w:rsidRPr="008565E2" w:rsidDel="007D2432">
        <w:t xml:space="preserve"> bis </w:t>
      </w:r>
      <w:r>
        <w:t>25</w:t>
      </w:r>
      <w:r w:rsidRPr="008565E2" w:rsidDel="007D2432">
        <w:t>.</w:t>
      </w:r>
      <w:r>
        <w:t>10</w:t>
      </w:r>
      <w:r w:rsidRPr="008565E2" w:rsidDel="007D2432">
        <w:t>.20</w:t>
      </w:r>
      <w:r>
        <w:t>23</w:t>
      </w:r>
      <w:r w:rsidRPr="008565E2" w:rsidDel="007D2432">
        <w:t xml:space="preserve"> </w:t>
      </w:r>
      <w:r w:rsidRPr="00622801">
        <w:t>konsultiert</w:t>
      </w:r>
      <w:r>
        <w:t>.</w:t>
      </w:r>
    </w:p>
    <w:p w14:paraId="05C7B533" w14:textId="394237B2" w:rsidR="002E68B8" w:rsidRDefault="002E68B8" w:rsidP="002E68B8">
      <w:r w:rsidRPr="00D851DB">
        <w:t>D</w:t>
      </w:r>
      <w:r>
        <w:t>er</w:t>
      </w:r>
      <w:r w:rsidRPr="00D851DB">
        <w:t xml:space="preserve"> </w:t>
      </w:r>
      <w:r>
        <w:t>Vorschlag für die dritte Änderung der CCM Core enthält auch den gemäß</w:t>
      </w:r>
      <w:r w:rsidRPr="00D851DB">
        <w:t xml:space="preserve"> Art.</w:t>
      </w:r>
      <w:r>
        <w:t> 9</w:t>
      </w:r>
      <w:r w:rsidRPr="00D851DB">
        <w:t xml:space="preserve"> Abs.</w:t>
      </w:r>
      <w:r>
        <w:t> 9</w:t>
      </w:r>
      <w:r w:rsidRPr="00D851DB">
        <w:t xml:space="preserve"> </w:t>
      </w:r>
      <w:r>
        <w:t>CACM</w:t>
      </w:r>
      <w:r w:rsidRPr="00D851DB">
        <w:t xml:space="preserve">-V für </w:t>
      </w:r>
      <w:r>
        <w:t>seine</w:t>
      </w:r>
      <w:r w:rsidRPr="00D851DB">
        <w:t xml:space="preserve"> Umsetzung</w:t>
      </w:r>
      <w:r>
        <w:t xml:space="preserve"> geforderten </w:t>
      </w:r>
      <w:r w:rsidRPr="00D851DB">
        <w:t>Zeitplan.</w:t>
      </w:r>
      <w:r>
        <w:t xml:space="preserve"> Art. 7 des Vorschlags CCM Core enthält eine Novellierung des Implementierungsplans in Art. 28 Abs. 3 CCM Core, die Vorgabe des </w:t>
      </w:r>
      <w:r w:rsidRPr="00D851DB">
        <w:t>Art.</w:t>
      </w:r>
      <w:r>
        <w:t> 9</w:t>
      </w:r>
      <w:r w:rsidRPr="00D851DB">
        <w:t xml:space="preserve"> Abs.</w:t>
      </w:r>
      <w:r>
        <w:t> 9</w:t>
      </w:r>
      <w:r w:rsidRPr="00D851DB">
        <w:t xml:space="preserve"> </w:t>
      </w:r>
      <w:r>
        <w:t>CACM</w:t>
      </w:r>
      <w:r w:rsidRPr="00D851DB">
        <w:t>-V</w:t>
      </w:r>
      <w:r>
        <w:t xml:space="preserve"> ist sohin erfüllt.</w:t>
      </w:r>
    </w:p>
    <w:p w14:paraId="597F284A" w14:textId="0A872CB3" w:rsidR="002E68B8" w:rsidRDefault="002E68B8" w:rsidP="002E68B8">
      <w:r>
        <w:t>Schließlich wurde</w:t>
      </w:r>
      <w:r w:rsidR="00A5430A">
        <w:t>n</w:t>
      </w:r>
      <w:r>
        <w:t xml:space="preserve"> im Vorschlag CCM Core in Erwägungsgrund 8 auch </w:t>
      </w:r>
      <w:r w:rsidRPr="00FF4006">
        <w:t>die Auswirkungen auf die Zielsetzungen der CACM-V</w:t>
      </w:r>
      <w:r>
        <w:t xml:space="preserve"> berücksichtigt</w:t>
      </w:r>
      <w:r w:rsidRPr="00FF4006">
        <w:t>.</w:t>
      </w:r>
    </w:p>
    <w:p w14:paraId="7E3972A6" w14:textId="77777777" w:rsidR="002E68B8" w:rsidRDefault="002E68B8" w:rsidP="002E68B8">
      <w:r>
        <w:t>Vor diesem Hintergrund ist der Genehmigungsantrag der APG zu genehmigen.</w:t>
      </w:r>
    </w:p>
    <w:p w14:paraId="210755B8" w14:textId="77777777" w:rsidR="00A5430A" w:rsidRDefault="00A5430A" w:rsidP="002E68B8"/>
    <w:p w14:paraId="3664E92D" w14:textId="77777777" w:rsidR="00A5430A" w:rsidRDefault="00A5430A" w:rsidP="002E68B8"/>
    <w:p w14:paraId="7CF04D5A" w14:textId="77777777" w:rsidR="002E68B8" w:rsidRPr="00B91976" w:rsidRDefault="002E68B8" w:rsidP="002E68B8">
      <w:pPr>
        <w:pStyle w:val="berschrift1"/>
      </w:pPr>
      <w:r w:rsidRPr="00B91976">
        <w:lastRenderedPageBreak/>
        <w:t>Rechtsmittelbelehrung</w:t>
      </w:r>
      <w:bookmarkEnd w:id="8"/>
    </w:p>
    <w:p w14:paraId="29D46A10" w14:textId="77777777" w:rsidR="002E68B8" w:rsidRPr="00B91976" w:rsidRDefault="002E68B8" w:rsidP="002E68B8">
      <w:r w:rsidRPr="00B91976">
        <w:t>Gegen diesen Bescheid kann gemäß § 7 VwGVG das Rechtsmittel der Beschwerde an das Bundesverwaltungsgericht erhoben werden. Die Beschwerde ist binnen vier Wochen nach erfolgter Zustellung dieses Bescheides bei der E-Control einzubringen und hat die Bezeichnung des angefochtenen B</w:t>
      </w:r>
      <w:r>
        <w:t xml:space="preserve">escheides, die belangte Behörde, </w:t>
      </w:r>
      <w:r w:rsidRPr="00B91976">
        <w:t>die Gründe auf die sich die behauptete Rechtswidrigkeit stützt sowie das Begehren zu enthalten.</w:t>
      </w:r>
    </w:p>
    <w:p w14:paraId="54F59EBC" w14:textId="77777777" w:rsidR="002E68B8" w:rsidRPr="00B91976" w:rsidRDefault="002E68B8" w:rsidP="002E68B8">
      <w:r w:rsidRPr="00B91976">
        <w:t xml:space="preserve">Mit Einbringung der Beschwerde ist </w:t>
      </w:r>
      <w:r>
        <w:t xml:space="preserve">die </w:t>
      </w:r>
      <w:r w:rsidRPr="00B91976">
        <w:t xml:space="preserve">Eingabegebühr von </w:t>
      </w:r>
      <w:r w:rsidRPr="005B61AD">
        <w:rPr>
          <w:rStyle w:val="Fett"/>
        </w:rPr>
        <w:t>EUR 30,00</w:t>
      </w:r>
      <w:r w:rsidRPr="00B91976">
        <w:t xml:space="preserve"> gemäß § 14 TP 6 Abs. 5 Z 1 lit. b Gebührengesetz (GebG) 1957, BGBl. 267/1957 idgF iVm § 2 </w:t>
      </w:r>
      <w:r w:rsidRPr="003901E5">
        <w:t xml:space="preserve">VwG-Eingabengebührverordnung </w:t>
      </w:r>
      <w:r>
        <w:t>(</w:t>
      </w:r>
      <w:r w:rsidRPr="003901E5">
        <w:t>VwG-EGebV</w:t>
      </w:r>
      <w:r>
        <w:t>)</w:t>
      </w:r>
      <w:r w:rsidRPr="00B91976">
        <w:t xml:space="preserve">, BGBl. II 387/2014 idgF, fällig. </w:t>
      </w:r>
      <w:bookmarkStart w:id="9" w:name="_Hlk97035751"/>
      <w:r>
        <w:t>Die</w:t>
      </w:r>
      <w:r w:rsidRPr="00B91976">
        <w:t xml:space="preserve"> Gebühr </w:t>
      </w:r>
      <w:r>
        <w:t xml:space="preserve">ist zumindest </w:t>
      </w:r>
      <w:r w:rsidRPr="00B91976">
        <w:t xml:space="preserve">unter Angabe </w:t>
      </w:r>
      <w:r>
        <w:t xml:space="preserve">der Geschäftszahl des Bescheids als </w:t>
      </w:r>
      <w:r w:rsidRPr="00B91976">
        <w:t>Verwendungszweck durch Überweisung auf das entsprechende Konto des</w:t>
      </w:r>
      <w:r>
        <w:t xml:space="preserve"> Finanzamts Österreich – Dienststelle Sonderzuständigkeiten</w:t>
      </w:r>
      <w:r w:rsidRPr="00B91976">
        <w:t xml:space="preserve">, </w:t>
      </w:r>
      <w:bookmarkEnd w:id="9"/>
      <w:r w:rsidRPr="00B91976">
        <w:t>IBAN: AT83 0100 0000 0550 4109, BIC: BUNDATWW, zu entrichten. Die Entrichtung der Gebühr ist durch einen Zahlungsbeleg oder einen Ausdruck über die erfolgte Erteilung einer Zahlungsanweisung nachzuweisen; dieser Beleg ist der Eingabe anzuschließen. Notare, Rechtsanwälte, Steuerberater oder Wirtschaftsprüfer können die Entrichtung der Gebühr auch durch einen schriftlichen Beleg des spätestens zugleich mit der Eingabe weiterzuleitenden Überweisungsauftrages nachweisen, wenn sie darauf mit Datum und Unterschrift bestätigen, dass der Überweisungsauftrag unter einem unwiderruflich erteilt wird.</w:t>
      </w:r>
    </w:p>
    <w:p w14:paraId="6DD7719A" w14:textId="77777777" w:rsidR="002E68B8" w:rsidRPr="00FA5885" w:rsidRDefault="002E68B8" w:rsidP="002E68B8">
      <w:pPr>
        <w:pStyle w:val="berschrift1"/>
      </w:pPr>
      <w:bookmarkStart w:id="10" w:name="_Toc152226277"/>
      <w:r w:rsidRPr="00FA5885">
        <w:t>Gebührenhinweis</w:t>
      </w:r>
      <w:bookmarkEnd w:id="10"/>
    </w:p>
    <w:p w14:paraId="7D2E22F1" w14:textId="77777777" w:rsidR="002E68B8" w:rsidRPr="00B91976" w:rsidRDefault="002E68B8" w:rsidP="002E68B8">
      <w:r w:rsidRPr="00FA5885">
        <w:t>Das Unternehmen wird ersucht, die nachfolgend angeführten Gebühren gemäß § 3 Abs. 2 Gebührengesetz 1957 (GebG), BGBl 267/1957 idgF,</w:t>
      </w:r>
      <w:r w:rsidRPr="00FA5885">
        <w:rPr>
          <w:b/>
          <w:bCs/>
        </w:rPr>
        <w:t xml:space="preserve"> </w:t>
      </w:r>
      <w:r w:rsidRPr="00FA5885">
        <w:t xml:space="preserve">auf das Gebührenkonto der E-Control bei </w:t>
      </w:r>
      <w:r w:rsidRPr="00FA5885">
        <w:rPr>
          <w:rStyle w:val="Fett"/>
        </w:rPr>
        <w:t>ERSTE BANK, BIC: GIBAATWWXXX, IBAN: AT57 2011 1403 1846 4201</w:t>
      </w:r>
      <w:r w:rsidRPr="00FA5885">
        <w:t>, unter Angabe der Verfahrenskennzahl zu überweisen.</w:t>
      </w:r>
    </w:p>
    <w:tbl>
      <w:tblPr>
        <w:tblW w:w="8828" w:type="dxa"/>
        <w:tblCellMar>
          <w:left w:w="70" w:type="dxa"/>
          <w:right w:w="70" w:type="dxa"/>
        </w:tblCellMar>
        <w:tblLook w:val="04A0" w:firstRow="1" w:lastRow="0" w:firstColumn="1" w:lastColumn="0" w:noHBand="0" w:noVBand="1"/>
      </w:tblPr>
      <w:tblGrid>
        <w:gridCol w:w="7356"/>
        <w:gridCol w:w="605"/>
        <w:gridCol w:w="876"/>
      </w:tblGrid>
      <w:tr w:rsidR="002E68B8" w:rsidRPr="00FC4742" w14:paraId="3ABD739E" w14:textId="77777777" w:rsidTr="00935E24">
        <w:trPr>
          <w:trHeight w:val="285"/>
        </w:trPr>
        <w:tc>
          <w:tcPr>
            <w:tcW w:w="7356" w:type="dxa"/>
            <w:tcBorders>
              <w:top w:val="nil"/>
              <w:left w:val="nil"/>
              <w:bottom w:val="nil"/>
              <w:right w:val="nil"/>
            </w:tcBorders>
            <w:shd w:val="clear" w:color="auto" w:fill="auto"/>
            <w:noWrap/>
            <w:vAlign w:val="center"/>
            <w:hideMark/>
          </w:tcPr>
          <w:p w14:paraId="6DFF7D72" w14:textId="77777777" w:rsidR="002E68B8" w:rsidRPr="00FC4742" w:rsidRDefault="002E68B8" w:rsidP="00935E24">
            <w:pPr>
              <w:spacing w:after="0" w:line="240" w:lineRule="auto"/>
              <w:jc w:val="left"/>
              <w:rPr>
                <w:rFonts w:ascii="Arial" w:eastAsia="Times New Roman" w:hAnsi="Arial" w:cs="Arial"/>
                <w:color w:val="000000"/>
                <w:szCs w:val="22"/>
                <w:lang w:val="de-DE"/>
              </w:rPr>
            </w:pPr>
            <w:r w:rsidRPr="00FC4742">
              <w:rPr>
                <w:rFonts w:ascii="Arial" w:eastAsia="Times New Roman" w:hAnsi="Arial" w:cs="Arial"/>
                <w:color w:val="000000"/>
                <w:szCs w:val="22"/>
                <w:lang w:val="de-DE"/>
              </w:rPr>
              <w:t>Eingabenvergebührung (§ 14 TP 6 Abs. 1 GebG)</w:t>
            </w:r>
          </w:p>
        </w:tc>
        <w:tc>
          <w:tcPr>
            <w:tcW w:w="596" w:type="dxa"/>
            <w:tcBorders>
              <w:top w:val="nil"/>
              <w:left w:val="nil"/>
              <w:bottom w:val="nil"/>
              <w:right w:val="nil"/>
            </w:tcBorders>
            <w:shd w:val="clear" w:color="auto" w:fill="auto"/>
            <w:noWrap/>
            <w:vAlign w:val="center"/>
            <w:hideMark/>
          </w:tcPr>
          <w:p w14:paraId="7D7C6F07" w14:textId="77777777" w:rsidR="002E68B8" w:rsidRPr="00FC4742" w:rsidRDefault="002E68B8" w:rsidP="00935E24">
            <w:pPr>
              <w:spacing w:after="0" w:line="240" w:lineRule="auto"/>
              <w:jc w:val="right"/>
              <w:rPr>
                <w:rFonts w:ascii="Arial" w:eastAsia="Times New Roman" w:hAnsi="Arial" w:cs="Arial"/>
                <w:color w:val="000000"/>
                <w:szCs w:val="22"/>
                <w:lang w:val="de-DE"/>
              </w:rPr>
            </w:pPr>
            <w:r w:rsidRPr="00FC4742">
              <w:rPr>
                <w:rFonts w:ascii="Arial" w:eastAsia="Times New Roman" w:hAnsi="Arial" w:cs="Arial"/>
                <w:color w:val="000000"/>
                <w:szCs w:val="22"/>
                <w:lang w:val="de-DE"/>
              </w:rPr>
              <w:t>EUR</w:t>
            </w:r>
          </w:p>
        </w:tc>
        <w:tc>
          <w:tcPr>
            <w:tcW w:w="876" w:type="dxa"/>
            <w:tcBorders>
              <w:top w:val="nil"/>
              <w:left w:val="nil"/>
              <w:bottom w:val="nil"/>
              <w:right w:val="nil"/>
            </w:tcBorders>
            <w:shd w:val="clear" w:color="auto" w:fill="auto"/>
            <w:noWrap/>
            <w:vAlign w:val="center"/>
            <w:hideMark/>
          </w:tcPr>
          <w:p w14:paraId="29BC600C" w14:textId="77777777" w:rsidR="002E68B8" w:rsidRPr="00FC4742" w:rsidRDefault="002E68B8" w:rsidP="00935E24">
            <w:pPr>
              <w:spacing w:after="0" w:line="240" w:lineRule="auto"/>
              <w:jc w:val="right"/>
              <w:rPr>
                <w:rFonts w:ascii="Arial" w:eastAsia="Times New Roman" w:hAnsi="Arial" w:cs="Arial"/>
                <w:color w:val="000000"/>
                <w:szCs w:val="22"/>
                <w:lang w:val="de-DE"/>
              </w:rPr>
            </w:pPr>
            <w:r w:rsidRPr="00FC4742">
              <w:rPr>
                <w:rFonts w:ascii="Arial" w:eastAsia="Times New Roman" w:hAnsi="Arial" w:cs="Arial"/>
                <w:color w:val="000000"/>
                <w:szCs w:val="22"/>
                <w:lang w:val="de-DE"/>
              </w:rPr>
              <w:t>14,30</w:t>
            </w:r>
          </w:p>
        </w:tc>
      </w:tr>
      <w:tr w:rsidR="002E68B8" w:rsidRPr="00FC4742" w14:paraId="121CBFD4" w14:textId="77777777" w:rsidTr="00935E24">
        <w:trPr>
          <w:trHeight w:val="285"/>
        </w:trPr>
        <w:tc>
          <w:tcPr>
            <w:tcW w:w="7356" w:type="dxa"/>
            <w:tcBorders>
              <w:top w:val="nil"/>
              <w:left w:val="nil"/>
              <w:bottom w:val="single" w:sz="4" w:space="0" w:color="auto"/>
              <w:right w:val="nil"/>
            </w:tcBorders>
            <w:shd w:val="clear" w:color="auto" w:fill="auto"/>
            <w:noWrap/>
            <w:vAlign w:val="center"/>
            <w:hideMark/>
          </w:tcPr>
          <w:p w14:paraId="11094446" w14:textId="77777777" w:rsidR="002E68B8" w:rsidRPr="00FC4742" w:rsidRDefault="002E68B8" w:rsidP="00935E24">
            <w:pPr>
              <w:spacing w:after="0" w:line="240" w:lineRule="auto"/>
              <w:jc w:val="left"/>
              <w:rPr>
                <w:rFonts w:ascii="Arial" w:eastAsia="Times New Roman" w:hAnsi="Arial" w:cs="Arial"/>
                <w:color w:val="000000"/>
                <w:szCs w:val="22"/>
                <w:lang w:val="de-DE"/>
              </w:rPr>
            </w:pPr>
            <w:r w:rsidRPr="00FC4742">
              <w:rPr>
                <w:rFonts w:ascii="Arial" w:eastAsia="Times New Roman" w:hAnsi="Arial" w:cs="Arial"/>
                <w:color w:val="000000"/>
                <w:szCs w:val="22"/>
                <w:lang w:val="de-DE"/>
              </w:rPr>
              <w:t>Beilagenvergebührung (§ 14 TP 5 Abs. 1 GebG)</w:t>
            </w:r>
          </w:p>
        </w:tc>
        <w:tc>
          <w:tcPr>
            <w:tcW w:w="596" w:type="dxa"/>
            <w:tcBorders>
              <w:top w:val="nil"/>
              <w:left w:val="nil"/>
              <w:bottom w:val="nil"/>
              <w:right w:val="nil"/>
            </w:tcBorders>
            <w:shd w:val="clear" w:color="auto" w:fill="auto"/>
            <w:noWrap/>
            <w:vAlign w:val="center"/>
            <w:hideMark/>
          </w:tcPr>
          <w:p w14:paraId="2B8CFD09" w14:textId="77777777" w:rsidR="002E68B8" w:rsidRPr="00FC4742" w:rsidRDefault="002E68B8" w:rsidP="00935E24">
            <w:pPr>
              <w:spacing w:after="0" w:line="240" w:lineRule="auto"/>
              <w:jc w:val="right"/>
              <w:rPr>
                <w:rFonts w:ascii="Arial" w:eastAsia="Times New Roman" w:hAnsi="Arial" w:cs="Arial"/>
                <w:color w:val="000000"/>
                <w:szCs w:val="22"/>
                <w:lang w:val="de-DE"/>
              </w:rPr>
            </w:pPr>
            <w:r w:rsidRPr="00FC4742">
              <w:rPr>
                <w:rFonts w:ascii="Arial" w:eastAsia="Times New Roman" w:hAnsi="Arial" w:cs="Arial"/>
                <w:color w:val="000000"/>
                <w:szCs w:val="22"/>
                <w:lang w:val="de-DE"/>
              </w:rPr>
              <w:t>EUR</w:t>
            </w:r>
          </w:p>
        </w:tc>
        <w:tc>
          <w:tcPr>
            <w:tcW w:w="876" w:type="dxa"/>
            <w:tcBorders>
              <w:top w:val="nil"/>
              <w:left w:val="nil"/>
              <w:bottom w:val="nil"/>
              <w:right w:val="nil"/>
            </w:tcBorders>
            <w:shd w:val="clear" w:color="auto" w:fill="auto"/>
            <w:noWrap/>
            <w:vAlign w:val="center"/>
            <w:hideMark/>
          </w:tcPr>
          <w:p w14:paraId="5AD4004F" w14:textId="77777777" w:rsidR="002E68B8" w:rsidRPr="00FC4742" w:rsidRDefault="002E68B8" w:rsidP="00935E24">
            <w:pPr>
              <w:spacing w:after="0" w:line="240" w:lineRule="auto"/>
              <w:jc w:val="right"/>
              <w:rPr>
                <w:rFonts w:ascii="Arial" w:eastAsia="Times New Roman" w:hAnsi="Arial" w:cs="Arial"/>
                <w:color w:val="000000"/>
                <w:szCs w:val="22"/>
                <w:lang w:val="de-DE"/>
              </w:rPr>
            </w:pPr>
            <w:r w:rsidRPr="00FC4742">
              <w:rPr>
                <w:rFonts w:ascii="Arial" w:eastAsia="Times New Roman" w:hAnsi="Arial" w:cs="Arial"/>
                <w:color w:val="000000"/>
                <w:szCs w:val="22"/>
                <w:lang w:val="de-DE"/>
              </w:rPr>
              <w:t>68,60</w:t>
            </w:r>
          </w:p>
        </w:tc>
      </w:tr>
      <w:tr w:rsidR="002E68B8" w:rsidRPr="00FC4742" w14:paraId="03367483" w14:textId="77777777" w:rsidTr="00935E24">
        <w:trPr>
          <w:trHeight w:val="300"/>
        </w:trPr>
        <w:tc>
          <w:tcPr>
            <w:tcW w:w="7356" w:type="dxa"/>
            <w:tcBorders>
              <w:top w:val="single" w:sz="4" w:space="0" w:color="auto"/>
              <w:left w:val="nil"/>
              <w:bottom w:val="nil"/>
              <w:right w:val="nil"/>
            </w:tcBorders>
            <w:shd w:val="clear" w:color="auto" w:fill="auto"/>
            <w:noWrap/>
            <w:vAlign w:val="center"/>
            <w:hideMark/>
          </w:tcPr>
          <w:p w14:paraId="73F7D56B" w14:textId="77777777" w:rsidR="002E68B8" w:rsidRPr="00FC4742" w:rsidRDefault="002E68B8" w:rsidP="00935E24">
            <w:pPr>
              <w:spacing w:after="0" w:line="240" w:lineRule="auto"/>
              <w:jc w:val="left"/>
              <w:rPr>
                <w:rFonts w:ascii="Arial" w:eastAsia="Times New Roman" w:hAnsi="Arial" w:cs="Arial"/>
                <w:b/>
                <w:bCs/>
                <w:color w:val="000000"/>
                <w:szCs w:val="22"/>
                <w:lang w:val="de-DE"/>
              </w:rPr>
            </w:pPr>
            <w:r w:rsidRPr="00FC4742">
              <w:rPr>
                <w:rFonts w:ascii="Arial" w:eastAsia="Times New Roman" w:hAnsi="Arial" w:cs="Arial"/>
                <w:b/>
                <w:bCs/>
                <w:color w:val="000000"/>
                <w:szCs w:val="22"/>
                <w:lang w:val="de-DE"/>
              </w:rPr>
              <w:t>Insgesamt</w:t>
            </w:r>
          </w:p>
        </w:tc>
        <w:tc>
          <w:tcPr>
            <w:tcW w:w="596" w:type="dxa"/>
            <w:tcBorders>
              <w:top w:val="single" w:sz="4" w:space="0" w:color="auto"/>
              <w:left w:val="nil"/>
              <w:bottom w:val="nil"/>
              <w:right w:val="nil"/>
            </w:tcBorders>
            <w:shd w:val="clear" w:color="auto" w:fill="auto"/>
            <w:noWrap/>
            <w:vAlign w:val="center"/>
            <w:hideMark/>
          </w:tcPr>
          <w:p w14:paraId="05C36CED" w14:textId="77777777" w:rsidR="002E68B8" w:rsidRPr="00FC4742" w:rsidRDefault="002E68B8" w:rsidP="00935E24">
            <w:pPr>
              <w:spacing w:after="0" w:line="240" w:lineRule="auto"/>
              <w:jc w:val="right"/>
              <w:rPr>
                <w:rFonts w:ascii="Arial" w:eastAsia="Times New Roman" w:hAnsi="Arial" w:cs="Arial"/>
                <w:b/>
                <w:bCs/>
                <w:color w:val="000000"/>
                <w:szCs w:val="22"/>
                <w:lang w:val="de-DE"/>
              </w:rPr>
            </w:pPr>
            <w:r w:rsidRPr="00FC4742">
              <w:rPr>
                <w:rFonts w:ascii="Arial" w:eastAsia="Times New Roman" w:hAnsi="Arial" w:cs="Arial"/>
                <w:b/>
                <w:bCs/>
                <w:color w:val="000000"/>
                <w:szCs w:val="22"/>
                <w:lang w:val="de-DE"/>
              </w:rPr>
              <w:t>EUR</w:t>
            </w:r>
          </w:p>
        </w:tc>
        <w:tc>
          <w:tcPr>
            <w:tcW w:w="876" w:type="dxa"/>
            <w:tcBorders>
              <w:top w:val="single" w:sz="4" w:space="0" w:color="auto"/>
              <w:left w:val="nil"/>
              <w:bottom w:val="nil"/>
              <w:right w:val="nil"/>
            </w:tcBorders>
            <w:shd w:val="clear" w:color="auto" w:fill="auto"/>
            <w:noWrap/>
            <w:vAlign w:val="center"/>
            <w:hideMark/>
          </w:tcPr>
          <w:p w14:paraId="353667BC" w14:textId="77777777" w:rsidR="002E68B8" w:rsidRPr="00FC4742" w:rsidRDefault="002E68B8" w:rsidP="00935E24">
            <w:pPr>
              <w:spacing w:after="0" w:line="240" w:lineRule="auto"/>
              <w:jc w:val="right"/>
              <w:rPr>
                <w:rFonts w:ascii="Arial" w:eastAsia="Times New Roman" w:hAnsi="Arial" w:cs="Arial"/>
                <w:b/>
                <w:bCs/>
                <w:color w:val="000000"/>
                <w:szCs w:val="22"/>
                <w:lang w:val="de-DE"/>
              </w:rPr>
            </w:pPr>
            <w:r w:rsidRPr="00FC4742">
              <w:rPr>
                <w:rFonts w:ascii="Arial" w:eastAsia="Times New Roman" w:hAnsi="Arial" w:cs="Arial"/>
                <w:b/>
                <w:bCs/>
                <w:color w:val="000000"/>
                <w:szCs w:val="22"/>
                <w:lang w:val="de-DE"/>
              </w:rPr>
              <w:t>82,90</w:t>
            </w:r>
          </w:p>
        </w:tc>
      </w:tr>
    </w:tbl>
    <w:p w14:paraId="7E8A0CF9" w14:textId="77777777" w:rsidR="005B61AD" w:rsidRPr="00B91976" w:rsidRDefault="005B61AD" w:rsidP="005B61AD">
      <w:pPr>
        <w:keepNext/>
        <w:spacing w:before="840" w:after="360"/>
        <w:jc w:val="center"/>
        <w:rPr>
          <w:rFonts w:ascii="Arial" w:eastAsia="Times New Roman" w:hAnsi="Arial" w:cs="Arial"/>
        </w:rPr>
      </w:pPr>
      <w:r w:rsidRPr="00B91976">
        <w:rPr>
          <w:rFonts w:ascii="Arial" w:eastAsia="Times New Roman" w:hAnsi="Arial" w:cs="Arial"/>
        </w:rPr>
        <w:lastRenderedPageBreak/>
        <w:t>Energie-Control Austria</w:t>
      </w:r>
      <w:r>
        <w:rPr>
          <w:rFonts w:ascii="Arial" w:eastAsia="Times New Roman" w:hAnsi="Arial" w:cs="Arial"/>
        </w:rPr>
        <w:br/>
      </w:r>
      <w:r w:rsidRPr="00B91976">
        <w:rPr>
          <w:rFonts w:ascii="Arial" w:eastAsia="Times New Roman" w:hAnsi="Arial" w:cs="Arial"/>
        </w:rPr>
        <w:t>für die Regulierung der Elektrizitäts- und Erdgaswirtschaft (E-Control)</w:t>
      </w:r>
    </w:p>
    <w:p w14:paraId="1120A791" w14:textId="4F6F7A60" w:rsidR="005B61AD" w:rsidRPr="00CE4A9C" w:rsidRDefault="005B61AD" w:rsidP="005B61AD">
      <w:pPr>
        <w:keepNext/>
        <w:spacing w:after="360"/>
        <w:jc w:val="center"/>
        <w:rPr>
          <w:rFonts w:ascii="Arial" w:eastAsia="Times New Roman" w:hAnsi="Arial" w:cs="Arial"/>
        </w:rPr>
      </w:pPr>
      <w:r w:rsidRPr="00CE4A9C">
        <w:rPr>
          <w:rFonts w:ascii="Arial" w:eastAsia="Times New Roman" w:hAnsi="Arial" w:cs="Arial"/>
        </w:rPr>
        <w:t xml:space="preserve">Wien, am </w:t>
      </w:r>
      <w:r w:rsidR="008A660A">
        <w:fldChar w:fldCharType="begin" w:fldLock="1"/>
      </w:r>
      <w:r w:rsidR="008A660A">
        <w:instrText xml:space="preserve"> DOCPROPERTY  "ACTA NOVA:Erledigung.Genehmigt am/um (lang)" \* MERGEFORMAT</w:instrText>
      </w:r>
      <w:r w:rsidR="008A660A">
        <w:fldChar w:fldCharType="separate"/>
      </w:r>
      <w:r>
        <w:t>10. Juli 2024</w:t>
      </w:r>
      <w:r w:rsidR="008A660A">
        <w:fldChar w:fldCharType="end"/>
      </w:r>
    </w:p>
    <w:p w14:paraId="2CC929F0" w14:textId="77777777" w:rsidR="005B61AD" w:rsidRDefault="005B61AD" w:rsidP="005B61AD">
      <w:pPr>
        <w:keepNext/>
        <w:spacing w:after="840"/>
        <w:jc w:val="center"/>
        <w:rPr>
          <w:rFonts w:ascii="Arial" w:eastAsia="Times New Roman" w:hAnsi="Arial" w:cs="Arial"/>
        </w:rPr>
      </w:pPr>
      <w:r w:rsidRPr="00CE4A9C">
        <w:rPr>
          <w:rFonts w:ascii="Arial" w:eastAsia="Times New Roman" w:hAnsi="Arial" w:cs="Arial"/>
        </w:rPr>
        <w:t>Der Vorstand</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4" w:type="dxa"/>
          <w:right w:w="284" w:type="dxa"/>
        </w:tblCellMar>
        <w:tblLook w:val="04A0" w:firstRow="1" w:lastRow="0" w:firstColumn="1" w:lastColumn="0" w:noHBand="0" w:noVBand="1"/>
      </w:tblPr>
      <w:tblGrid>
        <w:gridCol w:w="4530"/>
        <w:gridCol w:w="4530"/>
      </w:tblGrid>
      <w:tr w:rsidR="005B61AD" w:rsidRPr="00632F93" w14:paraId="5AFD6D27" w14:textId="77777777" w:rsidTr="00554BC6">
        <w:tc>
          <w:tcPr>
            <w:tcW w:w="4530" w:type="dxa"/>
          </w:tcPr>
          <w:p w14:paraId="3C5AA1DF" w14:textId="47F99F1F" w:rsidR="005B61AD" w:rsidRPr="00632F93" w:rsidRDefault="008A660A" w:rsidP="00BA07EC">
            <w:pPr>
              <w:keepNext/>
              <w:jc w:val="center"/>
              <w:rPr>
                <w:noProof/>
              </w:rPr>
            </w:pPr>
            <w:r>
              <w:fldChar w:fldCharType="begin" w:fldLock="1"/>
            </w:r>
            <w:r>
              <w:instrText xml:space="preserve"> DOCPROPERTY  "ACTA NOVA:Erledigung.Genehmiger 1.Name mit Titel" \* MERGEFORMAT</w:instrText>
            </w:r>
            <w:r>
              <w:fldChar w:fldCharType="separate"/>
            </w:r>
            <w:r>
              <w:t>Dr. Wolfgang Urbantschitsch, LL.M.</w:t>
            </w:r>
            <w:r>
              <w:fldChar w:fldCharType="end"/>
            </w:r>
            <w:r w:rsidR="005B61AD" w:rsidRPr="00632F93">
              <w:rPr>
                <w:noProof/>
              </w:rPr>
              <w:t xml:space="preserve"> </w:t>
            </w:r>
            <w:r w:rsidR="005B61AD" w:rsidRPr="00632F93">
              <w:rPr>
                <w:noProof/>
              </w:rPr>
              <w:br/>
            </w:r>
            <w:r>
              <w:fldChar w:fldCharType="begin" w:fldLock="1"/>
            </w:r>
            <w:r>
              <w:instrText xml:space="preserve"> DOCPROPERTY  "ACTA NOVA:Erledigung.Genehmiger 1.PositionDE" \* MERGEFORMAT</w:instrText>
            </w:r>
            <w:r>
              <w:fldChar w:fldCharType="separate"/>
            </w:r>
            <w:r>
              <w:rPr>
                <w:noProof/>
              </w:rPr>
              <w:t>Vorstandsmitglied</w:t>
            </w:r>
            <w:r>
              <w:rPr>
                <w:noProof/>
              </w:rPr>
              <w:fldChar w:fldCharType="end"/>
            </w:r>
          </w:p>
          <w:p w14:paraId="7C00BF00" w14:textId="77777777" w:rsidR="005B61AD" w:rsidRPr="00632F93" w:rsidRDefault="005B61AD" w:rsidP="00554BC6">
            <w:pPr>
              <w:keepNext/>
              <w:spacing w:after="840"/>
              <w:jc w:val="center"/>
              <w:rPr>
                <w:rFonts w:ascii="Arial" w:eastAsia="Times New Roman" w:hAnsi="Arial" w:cs="Arial"/>
              </w:rPr>
            </w:pPr>
            <w:r w:rsidRPr="00632F93">
              <w:rPr>
                <w:noProof/>
              </w:rPr>
              <w:t>elektronisch gefertigt</w:t>
            </w:r>
          </w:p>
        </w:tc>
        <w:tc>
          <w:tcPr>
            <w:tcW w:w="4530" w:type="dxa"/>
          </w:tcPr>
          <w:p w14:paraId="43AC5EC8" w14:textId="57CC1887" w:rsidR="005B61AD" w:rsidRPr="00632F93" w:rsidRDefault="008A660A" w:rsidP="00BA07EC">
            <w:pPr>
              <w:keepNext/>
              <w:jc w:val="center"/>
              <w:rPr>
                <w:noProof/>
              </w:rPr>
            </w:pPr>
            <w:r>
              <w:fldChar w:fldCharType="begin" w:fldLock="1"/>
            </w:r>
            <w:r>
              <w:instrText xml:space="preserve"> DOCPROPERTY  "ACTA NOVA:Erledigung.Genehmiger 2.Name mit Titel" \* MERGEFORMAT</w:instrText>
            </w:r>
            <w:r>
              <w:fldChar w:fldCharType="separate"/>
            </w:r>
            <w:r>
              <w:t>Prof. DI Dr. Alfons Haber, MBA</w:t>
            </w:r>
            <w:r>
              <w:fldChar w:fldCharType="end"/>
            </w:r>
            <w:r w:rsidR="005B61AD" w:rsidRPr="00632F93">
              <w:rPr>
                <w:noProof/>
              </w:rPr>
              <w:br/>
            </w:r>
            <w:r>
              <w:fldChar w:fldCharType="begin" w:fldLock="1"/>
            </w:r>
            <w:r>
              <w:instrText xml:space="preserve"> DOCPROPERTY  "ACTA NOVA:Erledigung.Genehmiger 2.PositionDE" \* MERGEFORMAT</w:instrText>
            </w:r>
            <w:r>
              <w:fldChar w:fldCharType="separate"/>
            </w:r>
            <w:r>
              <w:rPr>
                <w:noProof/>
              </w:rPr>
              <w:t>Vorstandsmitglied</w:t>
            </w:r>
            <w:r>
              <w:rPr>
                <w:noProof/>
              </w:rPr>
              <w:fldChar w:fldCharType="end"/>
            </w:r>
          </w:p>
          <w:p w14:paraId="46BCFB31" w14:textId="77777777" w:rsidR="005B61AD" w:rsidRPr="00632F93" w:rsidRDefault="005B61AD" w:rsidP="00554BC6">
            <w:pPr>
              <w:keepNext/>
              <w:spacing w:after="840"/>
              <w:jc w:val="center"/>
              <w:rPr>
                <w:rFonts w:ascii="Arial" w:eastAsia="Times New Roman" w:hAnsi="Arial" w:cs="Arial"/>
              </w:rPr>
            </w:pPr>
            <w:r w:rsidRPr="00632F93">
              <w:rPr>
                <w:noProof/>
              </w:rPr>
              <w:t>elektronisch gefertigt</w:t>
            </w:r>
          </w:p>
        </w:tc>
      </w:tr>
    </w:tbl>
    <w:p w14:paraId="47514FA7" w14:textId="77777777" w:rsidR="005B61AD" w:rsidRPr="008626F1" w:rsidRDefault="005B61AD" w:rsidP="005B61AD">
      <w:pPr>
        <w:pStyle w:val="Liste-BeweisBeilagen"/>
        <w:spacing w:before="600"/>
        <w:rPr>
          <w:rStyle w:val="Beilage"/>
        </w:rPr>
      </w:pPr>
      <w:r w:rsidRPr="00371345">
        <w:rPr>
          <w:rStyle w:val="Beilage"/>
        </w:rPr>
        <w:t>Beilagen:</w:t>
      </w:r>
    </w:p>
    <w:p w14:paraId="6AA8A327" w14:textId="1F2BDE06" w:rsidR="00FA5885" w:rsidRPr="00773D5B" w:rsidRDefault="00FA5885" w:rsidP="00FA5885">
      <w:pPr>
        <w:ind w:left="1134" w:hanging="1134"/>
        <w:rPr>
          <w:noProof/>
          <w:lang w:val="en-GB" w:eastAsia="de-AT"/>
        </w:rPr>
      </w:pPr>
      <w:r w:rsidRPr="00773D5B">
        <w:rPr>
          <w:noProof/>
          <w:lang w:val="en-GB" w:eastAsia="de-AT"/>
        </w:rPr>
        <w:t>Beilage./1</w:t>
      </w:r>
      <w:r w:rsidRPr="00773D5B">
        <w:rPr>
          <w:noProof/>
          <w:lang w:val="en-GB" w:eastAsia="de-AT"/>
        </w:rPr>
        <w:tab/>
      </w:r>
      <w:r w:rsidR="00DA1E24" w:rsidRPr="00DA1E24">
        <w:rPr>
          <w:i/>
          <w:iCs/>
          <w:noProof/>
          <w:lang w:val="en-GB" w:eastAsia="de-AT"/>
        </w:rPr>
        <w:t>T</w:t>
      </w:r>
      <w:r w:rsidR="00DA1E24">
        <w:rPr>
          <w:i/>
          <w:iCs/>
          <w:lang w:val="en-GB"/>
        </w:rPr>
        <w:t>hird Amendment of the Day-Ahead Capacity Calculation Methodology of the Core Capacity Calculation Region</w:t>
      </w:r>
      <w:r w:rsidR="00DA1E24" w:rsidRPr="003B2B4D">
        <w:rPr>
          <w:i/>
          <w:iCs/>
          <w:lang w:val="en-GB"/>
        </w:rPr>
        <w:t xml:space="preserve"> in accordance with Article</w:t>
      </w:r>
      <w:r w:rsidR="00DA1E24">
        <w:rPr>
          <w:i/>
          <w:iCs/>
          <w:lang w:val="en-GB"/>
        </w:rPr>
        <w:t>s</w:t>
      </w:r>
      <w:r w:rsidR="00DA1E24" w:rsidRPr="003B2B4D">
        <w:rPr>
          <w:i/>
          <w:iCs/>
          <w:lang w:val="en-GB"/>
        </w:rPr>
        <w:t xml:space="preserve"> 2</w:t>
      </w:r>
      <w:r w:rsidR="00DA1E24">
        <w:rPr>
          <w:i/>
          <w:iCs/>
          <w:lang w:val="en-GB"/>
        </w:rPr>
        <w:t>0ff.</w:t>
      </w:r>
      <w:r w:rsidR="00DA1E24" w:rsidRPr="003B2B4D">
        <w:rPr>
          <w:i/>
          <w:iCs/>
          <w:lang w:val="en-GB"/>
        </w:rPr>
        <w:t xml:space="preserve"> of Commission Regulation 2015/1222 of 24 July 2015 establishing a Guideline on Capacity Allocation and Congestion Management, </w:t>
      </w:r>
      <w:r w:rsidR="00DA1E24">
        <w:rPr>
          <w:i/>
          <w:iCs/>
          <w:lang w:val="en-GB"/>
        </w:rPr>
        <w:t>8 December  2023</w:t>
      </w:r>
    </w:p>
    <w:p w14:paraId="6288004F" w14:textId="70F13ED4" w:rsidR="00FA5885" w:rsidRPr="00773D5B" w:rsidRDefault="00FA5885" w:rsidP="00FA5885">
      <w:pPr>
        <w:ind w:left="1134" w:hanging="1134"/>
        <w:rPr>
          <w:noProof/>
          <w:lang w:val="en-GB" w:eastAsia="de-AT"/>
        </w:rPr>
      </w:pPr>
      <w:r w:rsidRPr="00773D5B">
        <w:rPr>
          <w:lang w:val="en-GB"/>
        </w:rPr>
        <w:t>Beilage./2</w:t>
      </w:r>
      <w:r w:rsidRPr="00773D5B">
        <w:rPr>
          <w:lang w:val="en-GB"/>
        </w:rPr>
        <w:tab/>
      </w:r>
      <w:r w:rsidR="00DA1E24">
        <w:rPr>
          <w:i/>
          <w:iCs/>
          <w:lang w:val="en-GB"/>
        </w:rPr>
        <w:t>Agreement by</w:t>
      </w:r>
      <w:r w:rsidR="00DA1E24" w:rsidRPr="003B2B4D">
        <w:rPr>
          <w:i/>
          <w:iCs/>
          <w:lang w:val="en-GB"/>
        </w:rPr>
        <w:t xml:space="preserve"> the Core</w:t>
      </w:r>
      <w:r w:rsidR="00DA1E24">
        <w:rPr>
          <w:i/>
          <w:iCs/>
          <w:lang w:val="en-GB"/>
        </w:rPr>
        <w:t xml:space="preserve"> CCR</w:t>
      </w:r>
      <w:r w:rsidR="00DA1E24" w:rsidRPr="003B2B4D">
        <w:rPr>
          <w:i/>
          <w:iCs/>
          <w:lang w:val="en-GB"/>
        </w:rPr>
        <w:t xml:space="preserve"> Regulatory Authorities on the </w:t>
      </w:r>
      <w:r w:rsidR="00DA1E24">
        <w:rPr>
          <w:i/>
          <w:iCs/>
          <w:lang w:val="en-GB"/>
        </w:rPr>
        <w:t>third Amendment of the Day-Ahead Capacity Calculation Methodology of the Core Capacity Calculation Region</w:t>
      </w:r>
      <w:r w:rsidR="00DA1E24" w:rsidRPr="003B2B4D">
        <w:rPr>
          <w:i/>
          <w:iCs/>
          <w:lang w:val="en-GB"/>
        </w:rPr>
        <w:t xml:space="preserve"> in accordance with Article</w:t>
      </w:r>
      <w:r w:rsidR="00DA1E24">
        <w:rPr>
          <w:i/>
          <w:iCs/>
          <w:lang w:val="en-GB"/>
        </w:rPr>
        <w:t>s</w:t>
      </w:r>
      <w:r w:rsidR="00DA1E24" w:rsidRPr="003B2B4D">
        <w:rPr>
          <w:i/>
          <w:iCs/>
          <w:lang w:val="en-GB"/>
        </w:rPr>
        <w:t xml:space="preserve"> 2</w:t>
      </w:r>
      <w:r w:rsidR="00DA1E24">
        <w:rPr>
          <w:i/>
          <w:iCs/>
          <w:lang w:val="en-GB"/>
        </w:rPr>
        <w:t>0ff.</w:t>
      </w:r>
      <w:r w:rsidR="00DA1E24" w:rsidRPr="003B2B4D">
        <w:rPr>
          <w:i/>
          <w:iCs/>
          <w:lang w:val="en-GB"/>
        </w:rPr>
        <w:t xml:space="preserve"> of Commission Regulation 2015/1222 of 24 July 2015 establishing a Guideline on Capacity Allocation and Congestion Management, </w:t>
      </w:r>
      <w:r w:rsidR="00DA1E24">
        <w:rPr>
          <w:i/>
          <w:iCs/>
          <w:lang w:val="en-GB"/>
        </w:rPr>
        <w:t>1 July  2024</w:t>
      </w:r>
    </w:p>
    <w:p w14:paraId="15699562" w14:textId="3D0101A3" w:rsidR="005B61AD" w:rsidRPr="00FA5885" w:rsidRDefault="005B61AD" w:rsidP="00FA5885">
      <w:pPr>
        <w:rPr>
          <w:noProof/>
          <w:lang w:val="en-GB" w:eastAsia="de-AT"/>
        </w:rPr>
      </w:pPr>
    </w:p>
    <w:sectPr w:rsidR="005B61AD" w:rsidRPr="00FA5885" w:rsidSect="00193BBF">
      <w:headerReference w:type="even" r:id="rId9"/>
      <w:headerReference w:type="default" r:id="rId10"/>
      <w:footerReference w:type="default" r:id="rId11"/>
      <w:headerReference w:type="first" r:id="rId12"/>
      <w:footerReference w:type="first" r:id="rId13"/>
      <w:pgSz w:w="11906" w:h="16838"/>
      <w:pgMar w:top="1985" w:right="1418" w:bottom="1418" w:left="1418"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0326BF" w14:textId="77777777" w:rsidR="007702FB" w:rsidRDefault="007702FB" w:rsidP="008360EF">
      <w:pPr>
        <w:spacing w:after="0" w:line="240" w:lineRule="auto"/>
      </w:pPr>
      <w:r>
        <w:separator/>
      </w:r>
    </w:p>
  </w:endnote>
  <w:endnote w:type="continuationSeparator" w:id="0">
    <w:p w14:paraId="4232B055" w14:textId="77777777" w:rsidR="007702FB" w:rsidRDefault="007702FB" w:rsidP="008360EF">
      <w:pPr>
        <w:spacing w:after="0" w:line="240" w:lineRule="auto"/>
      </w:pPr>
      <w:r>
        <w:continuationSeparator/>
      </w:r>
    </w:p>
  </w:endnote>
  <w:endnote w:type="continuationNotice" w:id="1">
    <w:p w14:paraId="7399C7DA" w14:textId="77777777" w:rsidR="007702FB" w:rsidRDefault="007702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ook w:val="04A0" w:firstRow="1" w:lastRow="0" w:firstColumn="1" w:lastColumn="0" w:noHBand="0" w:noVBand="1"/>
    </w:tblPr>
    <w:tblGrid>
      <w:gridCol w:w="3024"/>
      <w:gridCol w:w="3024"/>
      <w:gridCol w:w="3022"/>
    </w:tblGrid>
    <w:tr w:rsidR="006C122D" w14:paraId="0C4CEC78" w14:textId="77777777" w:rsidTr="00A13DAE">
      <w:tc>
        <w:tcPr>
          <w:tcW w:w="1667" w:type="pct"/>
        </w:tcPr>
        <w:p w14:paraId="51B2404A" w14:textId="77777777" w:rsidR="006C122D" w:rsidRPr="002052EB" w:rsidRDefault="006C122D" w:rsidP="009E5A17">
          <w:pPr>
            <w:pStyle w:val="Fuzeile"/>
            <w:tabs>
              <w:tab w:val="clear" w:pos="4536"/>
              <w:tab w:val="clear" w:pos="9072"/>
            </w:tabs>
            <w:jc w:val="left"/>
            <w:rPr>
              <w:rFonts w:ascii="Arial" w:hAnsi="Arial" w:cs="Arial"/>
              <w:sz w:val="14"/>
            </w:rPr>
          </w:pPr>
        </w:p>
      </w:tc>
      <w:tc>
        <w:tcPr>
          <w:tcW w:w="1667" w:type="pct"/>
        </w:tcPr>
        <w:p w14:paraId="3E592795" w14:textId="77777777" w:rsidR="006C122D" w:rsidRPr="004501CE" w:rsidRDefault="006C122D" w:rsidP="009E5A17">
          <w:pPr>
            <w:pStyle w:val="Fuzeile"/>
            <w:tabs>
              <w:tab w:val="clear" w:pos="4536"/>
            </w:tabs>
            <w:jc w:val="center"/>
            <w:rPr>
              <w:rFonts w:ascii="Arial" w:hAnsi="Arial" w:cs="Arial"/>
            </w:rPr>
          </w:pPr>
        </w:p>
      </w:tc>
      <w:tc>
        <w:tcPr>
          <w:tcW w:w="1666" w:type="pct"/>
        </w:tcPr>
        <w:p w14:paraId="7D504AA7" w14:textId="77777777" w:rsidR="006C122D" w:rsidRDefault="006C122D" w:rsidP="002052EB">
          <w:pPr>
            <w:pStyle w:val="Fuzeile"/>
            <w:jc w:val="right"/>
            <w:rPr>
              <w:rFonts w:ascii="Arial" w:hAnsi="Arial" w:cs="Arial"/>
            </w:rPr>
          </w:pPr>
          <w:r>
            <w:rPr>
              <w:rFonts w:ascii="Arial" w:hAnsi="Arial" w:cs="Arial"/>
            </w:rPr>
            <w:t xml:space="preserve">Seite </w:t>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Pr>
              <w:rFonts w:ascii="Arial" w:hAnsi="Arial" w:cs="Arial"/>
            </w:rPr>
            <w:t>2</w:t>
          </w:r>
          <w:r>
            <w:rPr>
              <w:rFonts w:ascii="Arial" w:hAnsi="Arial" w:cs="Arial"/>
            </w:rPr>
            <w:fldChar w:fldCharType="end"/>
          </w:r>
          <w:r>
            <w:rPr>
              <w:rFonts w:ascii="Arial" w:hAnsi="Arial" w:cs="Arial"/>
            </w:rPr>
            <w:t>/</w:t>
          </w:r>
          <w:r w:rsidR="000A5FF5">
            <w:rPr>
              <w:rFonts w:ascii="Arial" w:hAnsi="Arial" w:cs="Arial"/>
            </w:rPr>
            <w:fldChar w:fldCharType="begin"/>
          </w:r>
          <w:r w:rsidR="000A5FF5">
            <w:rPr>
              <w:rFonts w:ascii="Arial" w:hAnsi="Arial" w:cs="Arial"/>
            </w:rPr>
            <w:instrText xml:space="preserve"> NUMPAGES   \* MERGEFORMAT </w:instrText>
          </w:r>
          <w:r w:rsidR="000A5FF5">
            <w:rPr>
              <w:rFonts w:ascii="Arial" w:hAnsi="Arial" w:cs="Arial"/>
            </w:rPr>
            <w:fldChar w:fldCharType="separate"/>
          </w:r>
          <w:r w:rsidR="000A5FF5">
            <w:rPr>
              <w:rFonts w:ascii="Arial" w:hAnsi="Arial" w:cs="Arial"/>
              <w:noProof/>
            </w:rPr>
            <w:t>3</w:t>
          </w:r>
          <w:r w:rsidR="000A5FF5">
            <w:rPr>
              <w:rFonts w:ascii="Arial" w:hAnsi="Arial" w:cs="Arial"/>
            </w:rPr>
            <w:fldChar w:fldCharType="end"/>
          </w:r>
        </w:p>
      </w:tc>
    </w:tr>
  </w:tbl>
  <w:p w14:paraId="7E187E8C" w14:textId="77777777" w:rsidR="006C122D" w:rsidRDefault="006C122D" w:rsidP="002052E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3ECD36" w14:textId="461448CA" w:rsidR="00193BBF" w:rsidRDefault="00193BBF" w:rsidP="009869B9">
    <w:pPr>
      <w:pStyle w:val="Fuzeile"/>
    </w:pPr>
  </w:p>
  <w:p w14:paraId="133958C3" w14:textId="77777777" w:rsidR="009869B9" w:rsidRDefault="009869B9" w:rsidP="009869B9">
    <w:pPr>
      <w:pStyle w:val="Fuzeile"/>
    </w:pPr>
  </w:p>
  <w:tbl>
    <w:tblPr>
      <w:tblW w:w="5000" w:type="pct"/>
      <w:tblBorders>
        <w:left w:val="single" w:sz="8" w:space="0" w:color="797979"/>
        <w:right w:val="single" w:sz="8" w:space="0" w:color="808080" w:themeColor="accent6"/>
        <w:insideH w:val="single" w:sz="8" w:space="0" w:color="797979"/>
        <w:insideV w:val="single" w:sz="8" w:space="0" w:color="797979"/>
      </w:tblBorders>
      <w:tblLook w:val="04A0" w:firstRow="1" w:lastRow="0" w:firstColumn="1" w:lastColumn="0" w:noHBand="0" w:noVBand="1"/>
    </w:tblPr>
    <w:tblGrid>
      <w:gridCol w:w="4597"/>
      <w:gridCol w:w="2011"/>
      <w:gridCol w:w="2442"/>
    </w:tblGrid>
    <w:tr w:rsidR="009869B9" w:rsidRPr="009869B9" w14:paraId="7FBCFA04" w14:textId="77777777" w:rsidTr="009869B9">
      <w:tc>
        <w:tcPr>
          <w:tcW w:w="2539" w:type="pct"/>
          <w:tcBorders>
            <w:top w:val="nil"/>
            <w:left w:val="single" w:sz="8" w:space="0" w:color="797979"/>
            <w:bottom w:val="nil"/>
            <w:right w:val="single" w:sz="8" w:space="0" w:color="797979"/>
          </w:tcBorders>
          <w:hideMark/>
        </w:tcPr>
        <w:p w14:paraId="3E8795A8" w14:textId="77777777" w:rsidR="009869B9" w:rsidRPr="009869B9" w:rsidRDefault="009869B9" w:rsidP="009869B9">
          <w:pPr>
            <w:pStyle w:val="Fuzeile"/>
            <w:rPr>
              <w:lang w:val="de-DE"/>
            </w:rPr>
          </w:pPr>
          <w:r w:rsidRPr="009869B9">
            <w:rPr>
              <w:lang w:val="de-DE"/>
            </w:rPr>
            <w:t xml:space="preserve">Energie-Control Austria für die Regulierung der </w:t>
          </w:r>
        </w:p>
        <w:p w14:paraId="728512AA" w14:textId="77777777" w:rsidR="009869B9" w:rsidRPr="009869B9" w:rsidRDefault="009869B9" w:rsidP="009869B9">
          <w:pPr>
            <w:pStyle w:val="Fuzeile"/>
            <w:rPr>
              <w:lang w:val="de-DE"/>
            </w:rPr>
          </w:pPr>
          <w:r w:rsidRPr="009869B9">
            <w:rPr>
              <w:lang w:val="de-DE"/>
            </w:rPr>
            <w:t>Elektrizitäts- und Erdgaswirtschaft (E-Control)</w:t>
          </w:r>
        </w:p>
        <w:p w14:paraId="7629EC48" w14:textId="42D2CF17" w:rsidR="009869B9" w:rsidRPr="009869B9" w:rsidRDefault="009869B9" w:rsidP="009869B9">
          <w:pPr>
            <w:pStyle w:val="Fuzeile"/>
            <w:rPr>
              <w:lang w:val="de-DE"/>
            </w:rPr>
          </w:pPr>
          <w:r w:rsidRPr="009869B9">
            <w:rPr>
              <w:lang w:val="de-DE"/>
            </w:rPr>
            <w:t>HG Wien FN 206078g</w:t>
          </w:r>
        </w:p>
      </w:tc>
      <w:tc>
        <w:tcPr>
          <w:tcW w:w="1111" w:type="pct"/>
          <w:tcBorders>
            <w:top w:val="nil"/>
            <w:left w:val="single" w:sz="8" w:space="0" w:color="797979"/>
            <w:bottom w:val="nil"/>
            <w:right w:val="single" w:sz="8" w:space="0" w:color="797979"/>
          </w:tcBorders>
          <w:hideMark/>
        </w:tcPr>
        <w:p w14:paraId="415A6EFB" w14:textId="77777777" w:rsidR="009869B9" w:rsidRPr="009869B9" w:rsidRDefault="009869B9" w:rsidP="009869B9">
          <w:pPr>
            <w:pStyle w:val="Fuzeile"/>
            <w:rPr>
              <w:lang w:val="pl-PL"/>
            </w:rPr>
          </w:pPr>
          <w:r w:rsidRPr="009869B9">
            <w:rPr>
              <w:lang w:val="pl-PL"/>
            </w:rPr>
            <w:t>Rudolfsplatz 13a</w:t>
          </w:r>
        </w:p>
        <w:p w14:paraId="45607185" w14:textId="77777777" w:rsidR="009869B9" w:rsidRPr="009869B9" w:rsidRDefault="009869B9" w:rsidP="009869B9">
          <w:pPr>
            <w:pStyle w:val="Fuzeile"/>
            <w:rPr>
              <w:lang w:val="pl-PL"/>
            </w:rPr>
          </w:pPr>
          <w:r w:rsidRPr="009869B9">
            <w:rPr>
              <w:lang w:val="pl-PL"/>
            </w:rPr>
            <w:t>A-1010 Wien</w:t>
          </w:r>
        </w:p>
        <w:p w14:paraId="1FEFC918" w14:textId="77777777" w:rsidR="009869B9" w:rsidRPr="009869B9" w:rsidRDefault="009869B9" w:rsidP="009869B9">
          <w:pPr>
            <w:pStyle w:val="Fuzeile"/>
            <w:rPr>
              <w:lang w:val="pl-PL"/>
            </w:rPr>
          </w:pPr>
          <w:r w:rsidRPr="009869B9">
            <w:rPr>
              <w:lang w:val="pl-PL"/>
            </w:rPr>
            <w:t>Tel.: +43-1-24 7 24-0</w:t>
          </w:r>
        </w:p>
      </w:tc>
      <w:tc>
        <w:tcPr>
          <w:tcW w:w="1349" w:type="pct"/>
          <w:tcBorders>
            <w:top w:val="nil"/>
            <w:left w:val="single" w:sz="8" w:space="0" w:color="797979"/>
            <w:bottom w:val="nil"/>
            <w:right w:val="single" w:sz="8" w:space="0" w:color="808080" w:themeColor="accent6"/>
          </w:tcBorders>
          <w:hideMark/>
        </w:tcPr>
        <w:p w14:paraId="4D026606" w14:textId="77777777" w:rsidR="009869B9" w:rsidRPr="009869B9" w:rsidRDefault="009869B9" w:rsidP="009869B9">
          <w:pPr>
            <w:pStyle w:val="Fuzeile"/>
            <w:rPr>
              <w:lang w:val="de-DE"/>
            </w:rPr>
          </w:pPr>
          <w:r w:rsidRPr="009869B9">
            <w:rPr>
              <w:lang w:val="de-DE"/>
            </w:rPr>
            <w:t>Fax: +43-1-24 7 24-900</w:t>
          </w:r>
        </w:p>
        <w:p w14:paraId="7010D8E1" w14:textId="77777777" w:rsidR="009869B9" w:rsidRPr="009869B9" w:rsidRDefault="009869B9" w:rsidP="009869B9">
          <w:pPr>
            <w:pStyle w:val="Fuzeile"/>
            <w:rPr>
              <w:lang w:val="de-DE"/>
            </w:rPr>
          </w:pPr>
          <w:r w:rsidRPr="009869B9">
            <w:rPr>
              <w:lang w:val="de-DE"/>
            </w:rPr>
            <w:t>E-Mail: office@e-control.at</w:t>
          </w:r>
        </w:p>
        <w:p w14:paraId="515D34BC" w14:textId="77777777" w:rsidR="009869B9" w:rsidRPr="009869B9" w:rsidRDefault="009869B9" w:rsidP="009869B9">
          <w:pPr>
            <w:pStyle w:val="Fuzeile"/>
            <w:rPr>
              <w:lang w:val="de-DE"/>
            </w:rPr>
          </w:pPr>
          <w:r w:rsidRPr="009869B9">
            <w:rPr>
              <w:lang w:val="de-DE"/>
            </w:rPr>
            <w:t>www.e-control.at</w:t>
          </w:r>
        </w:p>
      </w:tc>
    </w:tr>
  </w:tbl>
  <w:p w14:paraId="23468F5D" w14:textId="77777777" w:rsidR="009869B9" w:rsidRPr="009869B9" w:rsidRDefault="009869B9" w:rsidP="009869B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96BEEE" w14:textId="77777777" w:rsidR="007702FB" w:rsidRDefault="007702FB" w:rsidP="008360EF">
      <w:pPr>
        <w:spacing w:after="0" w:line="240" w:lineRule="auto"/>
      </w:pPr>
      <w:r>
        <w:separator/>
      </w:r>
    </w:p>
  </w:footnote>
  <w:footnote w:type="continuationSeparator" w:id="0">
    <w:p w14:paraId="0948534B" w14:textId="77777777" w:rsidR="007702FB" w:rsidRDefault="007702FB" w:rsidP="008360EF">
      <w:pPr>
        <w:spacing w:after="0" w:line="240" w:lineRule="auto"/>
      </w:pPr>
      <w:r>
        <w:continuationSeparator/>
      </w:r>
    </w:p>
  </w:footnote>
  <w:footnote w:type="continuationNotice" w:id="1">
    <w:p w14:paraId="1B76F24C" w14:textId="77777777" w:rsidR="007702FB" w:rsidRDefault="007702FB">
      <w:pPr>
        <w:spacing w:after="0" w:line="240" w:lineRule="auto"/>
      </w:pPr>
    </w:p>
  </w:footnote>
  <w:footnote w:id="2">
    <w:p w14:paraId="0797D571" w14:textId="77777777" w:rsidR="002E68B8" w:rsidRPr="00C604E2" w:rsidRDefault="002E68B8" w:rsidP="002E68B8">
      <w:pPr>
        <w:pStyle w:val="Funotentext"/>
        <w:ind w:left="284" w:hanging="284"/>
        <w:jc w:val="both"/>
        <w:rPr>
          <w:lang w:val="de-DE"/>
        </w:rPr>
      </w:pPr>
      <w:r>
        <w:rPr>
          <w:rStyle w:val="Funotenzeichen"/>
        </w:rPr>
        <w:footnoteRef/>
      </w:r>
      <w:r>
        <w:t xml:space="preserve"> </w:t>
      </w:r>
      <w:r>
        <w:rPr>
          <w:lang w:val="de-DE"/>
        </w:rPr>
        <w:tab/>
      </w:r>
      <w:r w:rsidRPr="00E035DF">
        <w:rPr>
          <w:szCs w:val="18"/>
        </w:rPr>
        <w:t xml:space="preserve">Die </w:t>
      </w:r>
      <w:r w:rsidRPr="003A30B7">
        <w:rPr>
          <w:b/>
          <w:szCs w:val="18"/>
        </w:rPr>
        <w:t>CCR C</w:t>
      </w:r>
      <w:r>
        <w:rPr>
          <w:b/>
          <w:szCs w:val="18"/>
        </w:rPr>
        <w:t>ore</w:t>
      </w:r>
      <w:r w:rsidRPr="004A2FEA">
        <w:rPr>
          <w:szCs w:val="18"/>
        </w:rPr>
        <w:t xml:space="preserve"> wurde </w:t>
      </w:r>
      <w:r>
        <w:rPr>
          <w:szCs w:val="18"/>
        </w:rPr>
        <w:t>zuletzt durch die</w:t>
      </w:r>
      <w:r w:rsidRPr="004A2FEA">
        <w:rPr>
          <w:szCs w:val="18"/>
        </w:rPr>
        <w:t xml:space="preserve"> ACER-</w:t>
      </w:r>
      <w:r>
        <w:rPr>
          <w:szCs w:val="18"/>
        </w:rPr>
        <w:t>Entscheidung</w:t>
      </w:r>
      <w:r w:rsidRPr="004A2FEA">
        <w:rPr>
          <w:szCs w:val="18"/>
        </w:rPr>
        <w:t xml:space="preserve"> </w:t>
      </w:r>
      <w:r>
        <w:rPr>
          <w:szCs w:val="18"/>
        </w:rPr>
        <w:t>Nr. </w:t>
      </w:r>
      <w:r w:rsidRPr="004A2FEA">
        <w:rPr>
          <w:szCs w:val="18"/>
        </w:rPr>
        <w:t>0</w:t>
      </w:r>
      <w:r>
        <w:rPr>
          <w:szCs w:val="18"/>
        </w:rPr>
        <w:t>8</w:t>
      </w:r>
      <w:r w:rsidRPr="004A2FEA">
        <w:rPr>
          <w:szCs w:val="18"/>
        </w:rPr>
        <w:t>-20</w:t>
      </w:r>
      <w:r>
        <w:rPr>
          <w:szCs w:val="18"/>
        </w:rPr>
        <w:t>23</w:t>
      </w:r>
      <w:r w:rsidRPr="004A2FEA">
        <w:rPr>
          <w:szCs w:val="18"/>
        </w:rPr>
        <w:t xml:space="preserve"> vom </w:t>
      </w:r>
      <w:r>
        <w:rPr>
          <w:szCs w:val="18"/>
        </w:rPr>
        <w:t>31</w:t>
      </w:r>
      <w:r w:rsidRPr="004A2FEA">
        <w:rPr>
          <w:szCs w:val="18"/>
        </w:rPr>
        <w:t>.</w:t>
      </w:r>
      <w:r>
        <w:rPr>
          <w:szCs w:val="18"/>
        </w:rPr>
        <w:t>3</w:t>
      </w:r>
      <w:r w:rsidRPr="004A2FEA">
        <w:rPr>
          <w:szCs w:val="18"/>
        </w:rPr>
        <w:t>.20</w:t>
      </w:r>
      <w:r>
        <w:rPr>
          <w:szCs w:val="18"/>
        </w:rPr>
        <w:t>23</w:t>
      </w:r>
      <w:r w:rsidRPr="004A2FEA">
        <w:rPr>
          <w:szCs w:val="18"/>
        </w:rPr>
        <w:t xml:space="preserve"> festgelegt und besteht </w:t>
      </w:r>
      <w:r>
        <w:rPr>
          <w:szCs w:val="18"/>
        </w:rPr>
        <w:t>aus den in</w:t>
      </w:r>
      <w:r w:rsidRPr="004A2FEA">
        <w:rPr>
          <w:szCs w:val="18"/>
        </w:rPr>
        <w:t xml:space="preserve"> </w:t>
      </w:r>
      <w:r>
        <w:rPr>
          <w:szCs w:val="18"/>
        </w:rPr>
        <w:t xml:space="preserve">Annex 1, </w:t>
      </w:r>
      <w:r w:rsidRPr="004A2FEA">
        <w:rPr>
          <w:szCs w:val="18"/>
        </w:rPr>
        <w:t>Art. </w:t>
      </w:r>
      <w:r>
        <w:rPr>
          <w:szCs w:val="18"/>
        </w:rPr>
        <w:t>5</w:t>
      </w:r>
      <w:r w:rsidRPr="004A2FEA">
        <w:rPr>
          <w:szCs w:val="18"/>
        </w:rPr>
        <w:t xml:space="preserve"> diese</w:t>
      </w:r>
      <w:r>
        <w:rPr>
          <w:szCs w:val="18"/>
        </w:rPr>
        <w:t>r</w:t>
      </w:r>
      <w:r w:rsidRPr="004A2FEA">
        <w:rPr>
          <w:szCs w:val="18"/>
        </w:rPr>
        <w:t xml:space="preserve"> </w:t>
      </w:r>
      <w:r>
        <w:rPr>
          <w:szCs w:val="18"/>
        </w:rPr>
        <w:t>Entscheidung</w:t>
      </w:r>
      <w:r w:rsidRPr="004A2FEA">
        <w:rPr>
          <w:szCs w:val="18"/>
        </w:rPr>
        <w:t xml:space="preserve"> </w:t>
      </w:r>
      <w:r>
        <w:rPr>
          <w:szCs w:val="18"/>
        </w:rPr>
        <w:t>genannten</w:t>
      </w:r>
      <w:r w:rsidRPr="004A2FEA">
        <w:rPr>
          <w:szCs w:val="18"/>
        </w:rPr>
        <w:t xml:space="preserve"> Gebotszonengrenzen</w:t>
      </w:r>
      <w:r>
        <w:rPr>
          <w:szCs w:val="18"/>
        </w:rPr>
        <w:t>. Darunter fallen die folgenden von der Antragstellerin bewirtschafteten Gebotszonengrenzen: Österreich-Tschechische Republik (AT-CZ), Österreich-Ungarn (AT-HU), Austria-Slovenia (AT-Sl) und Deutschland/Luxemburg-Österreich (DE/LU-AT).</w:t>
      </w:r>
    </w:p>
  </w:footnote>
  <w:footnote w:id="3">
    <w:p w14:paraId="66E3F969" w14:textId="77777777" w:rsidR="002E68B8" w:rsidRPr="000B2154" w:rsidRDefault="002E68B8" w:rsidP="002E68B8">
      <w:pPr>
        <w:pStyle w:val="Funotentext"/>
        <w:ind w:left="284" w:hanging="284"/>
        <w:jc w:val="both"/>
        <w:rPr>
          <w:szCs w:val="18"/>
        </w:rPr>
      </w:pPr>
      <w:r w:rsidRPr="000B2154">
        <w:rPr>
          <w:rStyle w:val="Funotenzeichen"/>
          <w:szCs w:val="18"/>
        </w:rPr>
        <w:footnoteRef/>
      </w:r>
      <w:r w:rsidRPr="000B2154">
        <w:rPr>
          <w:szCs w:val="18"/>
        </w:rPr>
        <w:t xml:space="preserve"> </w:t>
      </w:r>
      <w:r w:rsidRPr="000B2154">
        <w:rPr>
          <w:szCs w:val="18"/>
        </w:rPr>
        <w:tab/>
      </w:r>
      <w:r w:rsidRPr="00990233">
        <w:rPr>
          <w:b/>
          <w:bCs/>
          <w:szCs w:val="18"/>
        </w:rPr>
        <w:t>LFR-Block-Beobachter</w:t>
      </w:r>
      <w:r w:rsidRPr="000B2154">
        <w:rPr>
          <w:szCs w:val="18"/>
        </w:rPr>
        <w:t xml:space="preserve"> bezeichnet gemäß Art. 3 Abs. 2 Z 139 SO-V einen für die Erhebung der Daten für die Bewertungskriterien für die Frequenzqualität eines LFR-Blocks und für die Anwendung dieser Kriterien zuständigen ÜNB.</w:t>
      </w:r>
    </w:p>
  </w:footnote>
  <w:footnote w:id="4">
    <w:p w14:paraId="52E4152C" w14:textId="77777777" w:rsidR="002E68B8" w:rsidRPr="000F1CE9" w:rsidRDefault="002E68B8" w:rsidP="002E68B8">
      <w:pPr>
        <w:pStyle w:val="Funotentext"/>
        <w:ind w:left="284" w:hanging="284"/>
        <w:jc w:val="both"/>
        <w:rPr>
          <w:szCs w:val="18"/>
        </w:rPr>
      </w:pPr>
      <w:r>
        <w:rPr>
          <w:rStyle w:val="Funotenzeichen"/>
        </w:rPr>
        <w:footnoteRef/>
      </w:r>
      <w:r>
        <w:t xml:space="preserve"> </w:t>
      </w:r>
      <w:r>
        <w:tab/>
      </w:r>
      <w:r w:rsidRPr="000F1CE9">
        <w:rPr>
          <w:szCs w:val="18"/>
        </w:rPr>
        <w:t>Verordnung (EU) 2017/1485 der Kommission vom 2.8.2017 zur Festlegung einer Leitlinie für den Übertragungsnetzbetrieb, ABl L 220 vom 25.8.2017 Seite 1 (</w:t>
      </w:r>
      <w:r w:rsidRPr="000F1CE9">
        <w:rPr>
          <w:b/>
          <w:szCs w:val="18"/>
        </w:rPr>
        <w:t>SO-V</w:t>
      </w:r>
      <w:r w:rsidRPr="000F1CE9">
        <w:rPr>
          <w:szCs w:val="18"/>
        </w:rPr>
        <w:t>).</w:t>
      </w:r>
    </w:p>
  </w:footnote>
  <w:footnote w:id="5">
    <w:p w14:paraId="130D25A2" w14:textId="77777777" w:rsidR="002E68B8" w:rsidRPr="000B2154" w:rsidRDefault="002E68B8" w:rsidP="002E68B8">
      <w:pPr>
        <w:pStyle w:val="Funotentext"/>
        <w:ind w:left="284" w:hanging="284"/>
        <w:jc w:val="both"/>
        <w:rPr>
          <w:szCs w:val="18"/>
        </w:rPr>
      </w:pPr>
      <w:r w:rsidRPr="000B2154">
        <w:rPr>
          <w:rStyle w:val="Funotenzeichen"/>
          <w:szCs w:val="18"/>
        </w:rPr>
        <w:footnoteRef/>
      </w:r>
      <w:r w:rsidRPr="000B2154">
        <w:rPr>
          <w:szCs w:val="18"/>
        </w:rPr>
        <w:t xml:space="preserve"> </w:t>
      </w:r>
      <w:r w:rsidRPr="000B2154">
        <w:rPr>
          <w:szCs w:val="18"/>
        </w:rPr>
        <w:tab/>
      </w:r>
      <w:r w:rsidRPr="00990233">
        <w:rPr>
          <w:b/>
          <w:bCs/>
          <w:szCs w:val="18"/>
        </w:rPr>
        <w:t>Leistungs-Frequenz-Regelblock</w:t>
      </w:r>
      <w:r w:rsidRPr="000B2154">
        <w:rPr>
          <w:szCs w:val="18"/>
        </w:rPr>
        <w:t xml:space="preserve"> oder kurz LFR-Block bezeichnet gemäß Art. 3 Abs. 2 Z 18 SO-VO einen Teil eines Synchrongebietes oder ein vollständiges Synchrongebiet, der/das physisch durch Messpunkte an Verbindungsleitungen mit anderen LFR- Blöcken abgegrenzt wird, eine oder mehrere LFR-Zonen umfasst und von einem oder mehreren ÜNB betrieben wird, der/die die Verpflichtung zur Leistungs-Frequenz-Regelung erfüllt/erfüllen.</w:t>
      </w:r>
    </w:p>
  </w:footnote>
  <w:footnote w:id="6">
    <w:p w14:paraId="7A6979DC" w14:textId="77777777" w:rsidR="002E68B8" w:rsidRPr="000B2154" w:rsidRDefault="002E68B8" w:rsidP="002E68B8">
      <w:pPr>
        <w:pStyle w:val="Funotentext"/>
        <w:ind w:left="284" w:hanging="284"/>
        <w:jc w:val="both"/>
        <w:rPr>
          <w:szCs w:val="18"/>
        </w:rPr>
      </w:pPr>
      <w:r w:rsidRPr="000B2154">
        <w:rPr>
          <w:rStyle w:val="Funotenzeichen"/>
          <w:szCs w:val="18"/>
        </w:rPr>
        <w:footnoteRef/>
      </w:r>
      <w:r w:rsidRPr="000B2154">
        <w:rPr>
          <w:szCs w:val="18"/>
        </w:rPr>
        <w:t xml:space="preserve"> </w:t>
      </w:r>
      <w:r w:rsidRPr="000B2154">
        <w:rPr>
          <w:szCs w:val="18"/>
        </w:rPr>
        <w:tab/>
      </w:r>
      <w:r w:rsidRPr="00990233">
        <w:rPr>
          <w:b/>
          <w:bCs/>
          <w:szCs w:val="18"/>
        </w:rPr>
        <w:t>Leistungs-Frequenz-Regelzone</w:t>
      </w:r>
      <w:r w:rsidRPr="000B2154">
        <w:rPr>
          <w:szCs w:val="18"/>
        </w:rPr>
        <w:t xml:space="preserve"> oder kurz LFR-Zone bezeichnet gemäß Art. 3 Abs. 2 Z 12 SO-VO einen Teil eines Synchrongebietes oder ein vollständiges Synchrongebiet, der/das durch Messpunkte an Verbindungsleitungen mit anderen LFR-Zonen abgegrenzt ist und von einem oder mehreren ÜNB betrieben wird, der/die die Verpflichtungen zur Leistungs- Frequenzregelung erfüllt/erfüllen.</w:t>
      </w:r>
    </w:p>
  </w:footnote>
  <w:footnote w:id="7">
    <w:p w14:paraId="3B74EE19" w14:textId="77777777" w:rsidR="002E68B8" w:rsidRPr="000B2154" w:rsidRDefault="002E68B8" w:rsidP="002E68B8">
      <w:pPr>
        <w:pStyle w:val="Funotentext"/>
        <w:ind w:left="284" w:hanging="284"/>
        <w:jc w:val="both"/>
        <w:rPr>
          <w:szCs w:val="18"/>
        </w:rPr>
      </w:pPr>
      <w:r w:rsidRPr="000B2154">
        <w:rPr>
          <w:rStyle w:val="Funotenzeichen"/>
          <w:szCs w:val="18"/>
        </w:rPr>
        <w:footnoteRef/>
      </w:r>
      <w:r w:rsidRPr="000B2154">
        <w:rPr>
          <w:szCs w:val="18"/>
        </w:rPr>
        <w:t xml:space="preserve"> </w:t>
      </w:r>
      <w:r w:rsidRPr="000B2154">
        <w:rPr>
          <w:szCs w:val="18"/>
        </w:rPr>
        <w:tab/>
        <w:t>Monitoring-Gebiet bezeichnet gemäß gemäß Art. 3 Abs. 2 Z 145 SO-VO einen Teil eines Synchrongebietes oder ein vollständiges Synchrongebiet, der/das durch Messpunkte an Verbindungsleitungen von anderen Monitoring-Gebieten abgegrenzt wird und der/das von einem oder mehreren ÜNB betrieben wird, der/die die Verpflichtungen für das Monitoring-Gebiet erfüllt/erfüllen.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180C1D" w14:textId="77777777" w:rsidR="006C122D" w:rsidRDefault="008A660A">
    <w:pPr>
      <w:pStyle w:val="Kopfzeile"/>
    </w:pPr>
    <w:r>
      <w:rPr>
        <w:noProof/>
        <w:lang w:eastAsia="de-AT"/>
      </w:rPr>
      <w:pict w14:anchorId="51C72B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700210" o:spid="_x0000_s1026" type="#_x0000_t75" style="position:absolute;left:0;text-align:left;margin-left:0;margin-top:0;width:278.4pt;height:296.15pt;z-index:-251658240;mso-position-horizontal:center;mso-position-horizontal-relative:margin;mso-position-vertical:center;mso-position-vertical-relative:margin" o:allowincell="f">
          <v:imagedata r:id="rId1" o:title="wasserzeiche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ayout w:type="fixed"/>
      <w:tblCellMar>
        <w:left w:w="0" w:type="dxa"/>
        <w:right w:w="0" w:type="dxa"/>
      </w:tblCellMar>
      <w:tblLook w:val="04A0" w:firstRow="1" w:lastRow="0" w:firstColumn="1" w:lastColumn="0" w:noHBand="0" w:noVBand="1"/>
    </w:tblPr>
    <w:tblGrid>
      <w:gridCol w:w="2984"/>
      <w:gridCol w:w="2986"/>
      <w:gridCol w:w="3100"/>
    </w:tblGrid>
    <w:tr w:rsidR="00644E0B" w:rsidRPr="00E83BAE" w14:paraId="43A9B403" w14:textId="77777777" w:rsidTr="00737704">
      <w:tc>
        <w:tcPr>
          <w:tcW w:w="1645" w:type="pct"/>
          <w:vAlign w:val="bottom"/>
        </w:tcPr>
        <w:p w14:paraId="1209303F" w14:textId="77777777" w:rsidR="00644E0B" w:rsidRPr="002052EB" w:rsidRDefault="008A660A" w:rsidP="00644E0B">
          <w:pPr>
            <w:pStyle w:val="Kopfzeile"/>
            <w:rPr>
              <w:rFonts w:ascii="Arial" w:hAnsi="Arial" w:cs="Arial"/>
              <w:sz w:val="14"/>
            </w:rPr>
          </w:pPr>
          <w:r>
            <w:fldChar w:fldCharType="begin" w:fldLock="1"/>
          </w:r>
          <w:r>
            <w:instrText xml:space="preserve"> DOCPROPERTY  "ACTA NOVA:Erledigung.Geschäftszahl" \* MERGEFORMAT</w:instrText>
          </w:r>
          <w:r>
            <w:fldChar w:fldCharType="separate"/>
          </w:r>
          <w:r>
            <w:t>V CACM 06/23/1</w:t>
          </w:r>
          <w:r>
            <w:fldChar w:fldCharType="end"/>
          </w:r>
        </w:p>
      </w:tc>
      <w:tc>
        <w:tcPr>
          <w:tcW w:w="1646" w:type="pct"/>
          <w:vAlign w:val="bottom"/>
        </w:tcPr>
        <w:p w14:paraId="058CA2AD" w14:textId="77777777" w:rsidR="00644E0B" w:rsidRPr="004501CE" w:rsidRDefault="00644E0B" w:rsidP="00644E0B">
          <w:pPr>
            <w:pStyle w:val="Kopfzeile"/>
            <w:jc w:val="center"/>
            <w:rPr>
              <w:rFonts w:ascii="Arial" w:hAnsi="Arial" w:cs="Arial"/>
            </w:rPr>
          </w:pPr>
        </w:p>
      </w:tc>
      <w:tc>
        <w:tcPr>
          <w:tcW w:w="1709" w:type="pct"/>
          <w:vAlign w:val="center"/>
        </w:tcPr>
        <w:p w14:paraId="7F498CC1" w14:textId="77777777" w:rsidR="00644E0B" w:rsidRDefault="00644E0B" w:rsidP="00644E0B">
          <w:pPr>
            <w:pStyle w:val="Kopfzeile"/>
            <w:jc w:val="right"/>
            <w:rPr>
              <w:rFonts w:ascii="Arial" w:hAnsi="Arial" w:cs="Arial"/>
            </w:rPr>
          </w:pPr>
          <w:r>
            <w:rPr>
              <w:noProof/>
            </w:rPr>
            <w:drawing>
              <wp:inline distT="0" distB="0" distL="0" distR="0" wp14:anchorId="606BA025" wp14:editId="1BEB891B">
                <wp:extent cx="1890000" cy="565200"/>
                <wp:effectExtent l="0" t="0" r="0" b="6350"/>
                <wp:docPr id="5" name="Grafik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0000" cy="565200"/>
                        </a:xfrm>
                        <a:prstGeom prst="rect">
                          <a:avLst/>
                        </a:prstGeom>
                        <a:noFill/>
                        <a:ln>
                          <a:noFill/>
                        </a:ln>
                      </pic:spPr>
                    </pic:pic>
                  </a:graphicData>
                </a:graphic>
              </wp:inline>
            </w:drawing>
          </w:r>
        </w:p>
      </w:tc>
    </w:tr>
  </w:tbl>
  <w:p w14:paraId="753B42F2" w14:textId="59488825" w:rsidR="006C122D" w:rsidRDefault="006C122D" w:rsidP="00D67EE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3"/>
      <w:gridCol w:w="3967"/>
    </w:tblGrid>
    <w:tr w:rsidR="00644E0B" w:rsidRPr="00644E0B" w14:paraId="38D70161" w14:textId="77777777" w:rsidTr="00737704">
      <w:tc>
        <w:tcPr>
          <w:tcW w:w="2813" w:type="pct"/>
          <w:vAlign w:val="bottom"/>
        </w:tcPr>
        <w:p w14:paraId="27F03612" w14:textId="77777777" w:rsidR="00644E0B" w:rsidRPr="00644E0B" w:rsidRDefault="00644E0B" w:rsidP="00644E0B">
          <w:pPr>
            <w:pStyle w:val="Kopfzeile"/>
            <w:jc w:val="left"/>
          </w:pPr>
        </w:p>
      </w:tc>
      <w:tc>
        <w:tcPr>
          <w:tcW w:w="2187" w:type="pct"/>
          <w:vAlign w:val="bottom"/>
        </w:tcPr>
        <w:p w14:paraId="45571540" w14:textId="77777777" w:rsidR="00644E0B" w:rsidRPr="00644E0B" w:rsidRDefault="00644E0B" w:rsidP="00644E0B">
          <w:pPr>
            <w:pStyle w:val="Kopfzeile"/>
            <w:jc w:val="right"/>
          </w:pPr>
          <w:r w:rsidRPr="00644E0B">
            <w:rPr>
              <w:noProof/>
            </w:rPr>
            <w:drawing>
              <wp:inline distT="0" distB="0" distL="0" distR="0" wp14:anchorId="2B5CCADE" wp14:editId="21DF7E51">
                <wp:extent cx="2520000" cy="756000"/>
                <wp:effectExtent l="0" t="0" r="0" b="6350"/>
                <wp:docPr id="4" name="Grafik 4" descr="E-Control - Unsere Energie gehört der Zukun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Control - Unsere Energie gehört der Zukunf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0000" cy="756000"/>
                        </a:xfrm>
                        <a:prstGeom prst="rect">
                          <a:avLst/>
                        </a:prstGeom>
                        <a:noFill/>
                        <a:ln>
                          <a:noFill/>
                        </a:ln>
                      </pic:spPr>
                    </pic:pic>
                  </a:graphicData>
                </a:graphic>
              </wp:inline>
            </w:drawing>
          </w:r>
        </w:p>
      </w:tc>
    </w:tr>
  </w:tbl>
  <w:p w14:paraId="6F48E0BF" w14:textId="640614A9" w:rsidR="00D024D2" w:rsidRDefault="00644E0B" w:rsidP="00D024D2">
    <w:pPr>
      <w:pStyle w:val="Kopfzeile"/>
      <w:jc w:val="right"/>
    </w:pPr>
    <w:r>
      <w:rPr>
        <w:noProof/>
      </w:rPr>
      <w:drawing>
        <wp:anchor distT="0" distB="0" distL="114300" distR="114300" simplePos="0" relativeHeight="251657216" behindDoc="1" locked="0" layoutInCell="0" allowOverlap="1" wp14:anchorId="57D4851F" wp14:editId="0ACCAD23">
          <wp:simplePos x="0" y="0"/>
          <wp:positionH relativeFrom="margin">
            <wp:align>center</wp:align>
          </wp:positionH>
          <wp:positionV relativeFrom="margin">
            <wp:align>center</wp:align>
          </wp:positionV>
          <wp:extent cx="3535200" cy="3535200"/>
          <wp:effectExtent l="0" t="0" r="8255" b="8255"/>
          <wp:wrapNone/>
          <wp:docPr id="1" name="Grafik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a:extLst>
                      <a:ext uri="{C183D7F6-B498-43B3-948B-1728B52AA6E4}">
                        <adec:decorative xmlns:adec="http://schemas.microsoft.com/office/drawing/2017/decorative" val="1"/>
                      </a:ext>
                    </a:extLst>
                  </pic:cNvPr>
                  <pic:cNvPicPr>
                    <a:picLocks noChangeAspect="1" noChangeArrowheads="1"/>
                  </pic:cNvPicPr>
                </pic:nvPicPr>
                <pic:blipFill>
                  <a:blip r:embed="rId2">
                    <a:alphaModFix amt="5000"/>
                    <a:extLst>
                      <a:ext uri="{BEBA8EAE-BF5A-486C-A8C5-ECC9F3942E4B}">
                        <a14:imgProps xmlns:a14="http://schemas.microsoft.com/office/drawing/2010/main">
                          <a14:imgLayer r:embed="rId3">
                            <a14:imgEffect>
                              <a14:saturation sat="0"/>
                            </a14:imgEffect>
                          </a14:imgLayer>
                        </a14:imgProps>
                      </a:ext>
                      <a:ext uri="{28A0092B-C50C-407E-A947-70E740481C1C}">
                        <a14:useLocalDpi xmlns:a14="http://schemas.microsoft.com/office/drawing/2010/main" val="0"/>
                      </a:ext>
                    </a:extLst>
                  </a:blip>
                  <a:stretch>
                    <a:fillRect/>
                  </a:stretch>
                </pic:blipFill>
                <pic:spPr bwMode="auto">
                  <a:xfrm>
                    <a:off x="0" y="0"/>
                    <a:ext cx="3535200" cy="35352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0A27E4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9D01F0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508D9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9A9D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9E83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120228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4B2A3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4670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4A7D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2DC15B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0B675C"/>
    <w:multiLevelType w:val="multilevel"/>
    <w:tmpl w:val="4CC48F3C"/>
    <w:lvl w:ilvl="0">
      <w:start w:val="1"/>
      <w:numFmt w:val="decimal"/>
      <w:lvlText w:val="%1."/>
      <w:lvlJc w:val="left"/>
      <w:pPr>
        <w:ind w:left="431" w:hanging="431"/>
      </w:pPr>
      <w:rPr>
        <w:rFonts w:hint="default"/>
      </w:rPr>
    </w:lvl>
    <w:lvl w:ilvl="1">
      <w:start w:val="1"/>
      <w:numFmt w:val="decimal"/>
      <w:lvlText w:val="%1.%2."/>
      <w:lvlJc w:val="left"/>
      <w:pPr>
        <w:ind w:left="658" w:hanging="658"/>
      </w:pPr>
      <w:rPr>
        <w:rFonts w:hint="default"/>
      </w:rPr>
    </w:lvl>
    <w:lvl w:ilvl="2">
      <w:start w:val="1"/>
      <w:numFmt w:val="decimal"/>
      <w:lvlText w:val="%1.%2.%3."/>
      <w:lvlJc w:val="left"/>
      <w:pPr>
        <w:ind w:left="885" w:hanging="885"/>
      </w:pPr>
      <w:rPr>
        <w:rFonts w:hint="default"/>
      </w:rPr>
    </w:lvl>
    <w:lvl w:ilvl="3">
      <w:start w:val="1"/>
      <w:numFmt w:val="decimal"/>
      <w:lvlText w:val="%1.%2.%3.%4."/>
      <w:lvlJc w:val="left"/>
      <w:pPr>
        <w:ind w:left="1112" w:hanging="1112"/>
      </w:pPr>
      <w:rPr>
        <w:rFonts w:hint="default"/>
      </w:rPr>
    </w:lvl>
    <w:lvl w:ilvl="4">
      <w:start w:val="1"/>
      <w:numFmt w:val="decimal"/>
      <w:lvlText w:val="%1.%2.%3.%4.%5."/>
      <w:lvlJc w:val="left"/>
      <w:pPr>
        <w:ind w:left="1339" w:hanging="1339"/>
      </w:pPr>
      <w:rPr>
        <w:rFonts w:hint="default"/>
      </w:rPr>
    </w:lvl>
    <w:lvl w:ilvl="5">
      <w:start w:val="1"/>
      <w:numFmt w:val="decimal"/>
      <w:lvlText w:val="%1.%2.%3.%4.%5.%6."/>
      <w:lvlJc w:val="left"/>
      <w:pPr>
        <w:ind w:left="1566" w:hanging="1566"/>
      </w:pPr>
      <w:rPr>
        <w:rFonts w:hint="default"/>
      </w:rPr>
    </w:lvl>
    <w:lvl w:ilvl="6">
      <w:start w:val="1"/>
      <w:numFmt w:val="decimal"/>
      <w:lvlText w:val="%1.%2.%3.%4.%5.%6.%7."/>
      <w:lvlJc w:val="left"/>
      <w:pPr>
        <w:ind w:left="1793" w:hanging="1793"/>
      </w:pPr>
      <w:rPr>
        <w:rFonts w:hint="default"/>
      </w:rPr>
    </w:lvl>
    <w:lvl w:ilvl="7">
      <w:start w:val="1"/>
      <w:numFmt w:val="decimal"/>
      <w:lvlText w:val="%1.%2.%3.%4.%5.%6.%7.%8."/>
      <w:lvlJc w:val="left"/>
      <w:pPr>
        <w:ind w:left="2020" w:hanging="2020"/>
      </w:pPr>
      <w:rPr>
        <w:rFonts w:hint="default"/>
      </w:rPr>
    </w:lvl>
    <w:lvl w:ilvl="8">
      <w:start w:val="1"/>
      <w:numFmt w:val="decimal"/>
      <w:lvlText w:val="%1.%2.%3.%4.%5.%6.%7.%8.%9."/>
      <w:lvlJc w:val="left"/>
      <w:pPr>
        <w:ind w:left="2247" w:hanging="2247"/>
      </w:pPr>
      <w:rPr>
        <w:rFonts w:hint="default"/>
      </w:rPr>
    </w:lvl>
  </w:abstractNum>
  <w:abstractNum w:abstractNumId="11" w15:restartNumberingAfterBreak="0">
    <w:nsid w:val="0C1524D7"/>
    <w:multiLevelType w:val="hybridMultilevel"/>
    <w:tmpl w:val="A23EBCE0"/>
    <w:lvl w:ilvl="0" w:tplc="0407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20B42C7"/>
    <w:multiLevelType w:val="hybridMultilevel"/>
    <w:tmpl w:val="F89E574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53C258F"/>
    <w:multiLevelType w:val="hybridMultilevel"/>
    <w:tmpl w:val="3CD63798"/>
    <w:lvl w:ilvl="0" w:tplc="332A34A8">
      <w:numFmt w:val="bullet"/>
      <w:lvlText w:val="―"/>
      <w:lvlJc w:val="left"/>
      <w:pPr>
        <w:ind w:left="720" w:hanging="360"/>
      </w:pPr>
      <w:rPr>
        <w:rFonts w:ascii="Arial" w:hAnsi="Arial" w:hint="default"/>
        <w:b w:val="0"/>
        <w:i w:val="0"/>
        <w:sz w:val="20"/>
        <w:szCs w:val="2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F347F68"/>
    <w:multiLevelType w:val="hybridMultilevel"/>
    <w:tmpl w:val="FBD81EF2"/>
    <w:lvl w:ilvl="0" w:tplc="FB44FAB8">
      <w:start w:val="1"/>
      <w:numFmt w:val="decimal"/>
      <w:pStyle w:val="Randnummer"/>
      <w:suff w:val="nothing"/>
      <w:lvlText w:val="%1"/>
      <w:lvlJc w:val="center"/>
      <w:pPr>
        <w:ind w:left="0"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5" w15:restartNumberingAfterBreak="0">
    <w:nsid w:val="52BD560F"/>
    <w:multiLevelType w:val="multilevel"/>
    <w:tmpl w:val="C8F2A61C"/>
    <w:lvl w:ilvl="0">
      <w:start w:val="1"/>
      <w:numFmt w:val="upperRoman"/>
      <w:pStyle w:val="berschrift1"/>
      <w:lvlText w:val="%1."/>
      <w:lvlJc w:val="left"/>
      <w:pPr>
        <w:ind w:left="431" w:hanging="431"/>
      </w:pPr>
      <w:rPr>
        <w:rFonts w:hint="default"/>
      </w:rPr>
    </w:lvl>
    <w:lvl w:ilvl="1">
      <w:start w:val="1"/>
      <w:numFmt w:val="decimal"/>
      <w:pStyle w:val="berschrift2"/>
      <w:lvlText w:val="%2."/>
      <w:lvlJc w:val="left"/>
      <w:pPr>
        <w:ind w:left="576" w:hanging="576"/>
      </w:pPr>
      <w:rPr>
        <w:rFonts w:hint="default"/>
      </w:rPr>
    </w:lvl>
    <w:lvl w:ilvl="2">
      <w:start w:val="1"/>
      <w:numFmt w:val="decimal"/>
      <w:pStyle w:val="berschrift3"/>
      <w:lvlText w:val="%2.%3."/>
      <w:lvlJc w:val="left"/>
      <w:pPr>
        <w:ind w:left="720" w:hanging="720"/>
      </w:pPr>
      <w:rPr>
        <w:rFonts w:hint="default"/>
      </w:rPr>
    </w:lvl>
    <w:lvl w:ilvl="3">
      <w:start w:val="1"/>
      <w:numFmt w:val="decimal"/>
      <w:pStyle w:val="berschrift4"/>
      <w:lvlText w:val="%2.%3.%4."/>
      <w:lvlJc w:val="left"/>
      <w:pPr>
        <w:ind w:left="964" w:hanging="964"/>
      </w:pPr>
      <w:rPr>
        <w:rFonts w:hint="default"/>
      </w:rPr>
    </w:lvl>
    <w:lvl w:ilvl="4">
      <w:start w:val="1"/>
      <w:numFmt w:val="decimal"/>
      <w:pStyle w:val="berschrift5"/>
      <w:lvlText w:val="%2.%3.%4.%5."/>
      <w:lvlJc w:val="left"/>
      <w:pPr>
        <w:ind w:left="1191" w:hanging="1191"/>
      </w:pPr>
      <w:rPr>
        <w:rFonts w:hint="default"/>
      </w:rPr>
    </w:lvl>
    <w:lvl w:ilvl="5">
      <w:start w:val="1"/>
      <w:numFmt w:val="decimal"/>
      <w:pStyle w:val="berschrift6"/>
      <w:lvlText w:val="%2.%3.%4.%5.%6."/>
      <w:lvlJc w:val="left"/>
      <w:pPr>
        <w:ind w:left="1247" w:hanging="1247"/>
      </w:pPr>
      <w:rPr>
        <w:rFonts w:hint="default"/>
      </w:rPr>
    </w:lvl>
    <w:lvl w:ilvl="6">
      <w:start w:val="1"/>
      <w:numFmt w:val="decimal"/>
      <w:pStyle w:val="berschrift7"/>
      <w:lvlText w:val="%2.%3.%4.%5.%6.%7."/>
      <w:lvlJc w:val="left"/>
      <w:pPr>
        <w:ind w:left="1361" w:hanging="1361"/>
      </w:pPr>
      <w:rPr>
        <w:rFonts w:hint="default"/>
      </w:rPr>
    </w:lvl>
    <w:lvl w:ilvl="7">
      <w:start w:val="1"/>
      <w:numFmt w:val="decimal"/>
      <w:pStyle w:val="berschrift8"/>
      <w:lvlText w:val="%2.%3.%4.%5.%6.%7.%8."/>
      <w:lvlJc w:val="left"/>
      <w:pPr>
        <w:ind w:left="1588" w:hanging="1588"/>
      </w:pPr>
      <w:rPr>
        <w:rFonts w:hint="default"/>
      </w:rPr>
    </w:lvl>
    <w:lvl w:ilvl="8">
      <w:start w:val="1"/>
      <w:numFmt w:val="decimal"/>
      <w:pStyle w:val="berschrift9"/>
      <w:lvlText w:val="%2.%3.%4.%5.%6.%7.%8.%9."/>
      <w:lvlJc w:val="left"/>
      <w:pPr>
        <w:ind w:left="1701" w:hanging="1701"/>
      </w:pPr>
      <w:rPr>
        <w:rFonts w:hint="default"/>
      </w:rPr>
    </w:lvl>
  </w:abstractNum>
  <w:abstractNum w:abstractNumId="16" w15:restartNumberingAfterBreak="1">
    <w:nsid w:val="6341016E"/>
    <w:multiLevelType w:val="multilevel"/>
    <w:tmpl w:val="9192311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698F5359"/>
    <w:multiLevelType w:val="hybridMultilevel"/>
    <w:tmpl w:val="96304C58"/>
    <w:lvl w:ilvl="0" w:tplc="0C07000F">
      <w:start w:val="1"/>
      <w:numFmt w:val="decimal"/>
      <w:lvlText w:val="%1."/>
      <w:lvlJc w:val="left"/>
      <w:pPr>
        <w:ind w:left="720" w:hanging="360"/>
      </w:pPr>
    </w:lvl>
    <w:lvl w:ilvl="1" w:tplc="0C070019">
      <w:start w:val="1"/>
      <w:numFmt w:val="lowerLetter"/>
      <w:lvlText w:val="%2."/>
      <w:lvlJc w:val="left"/>
      <w:pPr>
        <w:ind w:left="1440" w:hanging="360"/>
      </w:pPr>
    </w:lvl>
    <w:lvl w:ilvl="2" w:tplc="0C07001B">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16cid:durableId="647518848">
    <w:abstractNumId w:val="10"/>
  </w:num>
  <w:num w:numId="2" w16cid:durableId="200217028">
    <w:abstractNumId w:val="7"/>
  </w:num>
  <w:num w:numId="3" w16cid:durableId="2105178804">
    <w:abstractNumId w:val="13"/>
  </w:num>
  <w:num w:numId="4" w16cid:durableId="771821905">
    <w:abstractNumId w:val="14"/>
  </w:num>
  <w:num w:numId="5" w16cid:durableId="116533364">
    <w:abstractNumId w:val="17"/>
  </w:num>
  <w:num w:numId="6" w16cid:durableId="113519893">
    <w:abstractNumId w:val="15"/>
  </w:num>
  <w:num w:numId="7" w16cid:durableId="1608349999">
    <w:abstractNumId w:val="16"/>
  </w:num>
  <w:num w:numId="8" w16cid:durableId="937716854">
    <w:abstractNumId w:val="15"/>
  </w:num>
  <w:num w:numId="9" w16cid:durableId="2114209297">
    <w:abstractNumId w:val="14"/>
  </w:num>
  <w:num w:numId="10" w16cid:durableId="519321197">
    <w:abstractNumId w:val="15"/>
  </w:num>
  <w:num w:numId="11" w16cid:durableId="145513627">
    <w:abstractNumId w:val="15"/>
  </w:num>
  <w:num w:numId="12" w16cid:durableId="1016422939">
    <w:abstractNumId w:val="15"/>
  </w:num>
  <w:num w:numId="13" w16cid:durableId="1102722414">
    <w:abstractNumId w:val="15"/>
  </w:num>
  <w:num w:numId="14" w16cid:durableId="847451238">
    <w:abstractNumId w:val="15"/>
  </w:num>
  <w:num w:numId="15" w16cid:durableId="46032622">
    <w:abstractNumId w:val="15"/>
  </w:num>
  <w:num w:numId="16" w16cid:durableId="704795994">
    <w:abstractNumId w:val="15"/>
  </w:num>
  <w:num w:numId="17" w16cid:durableId="1556622900">
    <w:abstractNumId w:val="15"/>
  </w:num>
  <w:num w:numId="18" w16cid:durableId="480268716">
    <w:abstractNumId w:val="9"/>
  </w:num>
  <w:num w:numId="19" w16cid:durableId="1501890966">
    <w:abstractNumId w:val="6"/>
  </w:num>
  <w:num w:numId="20" w16cid:durableId="1015304171">
    <w:abstractNumId w:val="5"/>
  </w:num>
  <w:num w:numId="21" w16cid:durableId="1080520785">
    <w:abstractNumId w:val="4"/>
  </w:num>
  <w:num w:numId="22" w16cid:durableId="1236628416">
    <w:abstractNumId w:val="8"/>
  </w:num>
  <w:num w:numId="23" w16cid:durableId="1717002400">
    <w:abstractNumId w:val="3"/>
  </w:num>
  <w:num w:numId="24" w16cid:durableId="509176580">
    <w:abstractNumId w:val="2"/>
  </w:num>
  <w:num w:numId="25" w16cid:durableId="148130505">
    <w:abstractNumId w:val="1"/>
  </w:num>
  <w:num w:numId="26" w16cid:durableId="163906495">
    <w:abstractNumId w:val="0"/>
  </w:num>
  <w:num w:numId="27" w16cid:durableId="233009434">
    <w:abstractNumId w:val="11"/>
  </w:num>
  <w:num w:numId="28" w16cid:durableId="2053649181">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ocumentProtection w:edit="forms" w:enforcement="0"/>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007C"/>
    <w:rsid w:val="00002945"/>
    <w:rsid w:val="00002A1E"/>
    <w:rsid w:val="00003407"/>
    <w:rsid w:val="0000628D"/>
    <w:rsid w:val="00011CFA"/>
    <w:rsid w:val="00012C88"/>
    <w:rsid w:val="00015E7B"/>
    <w:rsid w:val="00017756"/>
    <w:rsid w:val="00022533"/>
    <w:rsid w:val="000226C9"/>
    <w:rsid w:val="000253BD"/>
    <w:rsid w:val="00026019"/>
    <w:rsid w:val="000345F9"/>
    <w:rsid w:val="00035C5D"/>
    <w:rsid w:val="000431B9"/>
    <w:rsid w:val="00043996"/>
    <w:rsid w:val="000452D2"/>
    <w:rsid w:val="00045B26"/>
    <w:rsid w:val="0004705D"/>
    <w:rsid w:val="00047E03"/>
    <w:rsid w:val="00047EC4"/>
    <w:rsid w:val="00052AF3"/>
    <w:rsid w:val="00053795"/>
    <w:rsid w:val="000561FE"/>
    <w:rsid w:val="00062651"/>
    <w:rsid w:val="0006413C"/>
    <w:rsid w:val="00064749"/>
    <w:rsid w:val="0007148E"/>
    <w:rsid w:val="0007270E"/>
    <w:rsid w:val="00082DA4"/>
    <w:rsid w:val="00091FB0"/>
    <w:rsid w:val="00092653"/>
    <w:rsid w:val="000A029C"/>
    <w:rsid w:val="000A32C5"/>
    <w:rsid w:val="000A4229"/>
    <w:rsid w:val="000A44B8"/>
    <w:rsid w:val="000A4A34"/>
    <w:rsid w:val="000A5FF5"/>
    <w:rsid w:val="000A766A"/>
    <w:rsid w:val="000B44DC"/>
    <w:rsid w:val="000B5AAD"/>
    <w:rsid w:val="000B7AFB"/>
    <w:rsid w:val="000C0D35"/>
    <w:rsid w:val="000C1EC8"/>
    <w:rsid w:val="000C3BC9"/>
    <w:rsid w:val="000D19EE"/>
    <w:rsid w:val="000D3991"/>
    <w:rsid w:val="000D3C8C"/>
    <w:rsid w:val="000E49E1"/>
    <w:rsid w:val="000F1133"/>
    <w:rsid w:val="000F5A6D"/>
    <w:rsid w:val="000F63F1"/>
    <w:rsid w:val="000F6BE0"/>
    <w:rsid w:val="000F72BA"/>
    <w:rsid w:val="0010247A"/>
    <w:rsid w:val="00111685"/>
    <w:rsid w:val="00111DEA"/>
    <w:rsid w:val="00120213"/>
    <w:rsid w:val="0012067F"/>
    <w:rsid w:val="00122651"/>
    <w:rsid w:val="00126401"/>
    <w:rsid w:val="00130042"/>
    <w:rsid w:val="00132C5F"/>
    <w:rsid w:val="00142074"/>
    <w:rsid w:val="001431AA"/>
    <w:rsid w:val="00143762"/>
    <w:rsid w:val="00143E19"/>
    <w:rsid w:val="00144C6C"/>
    <w:rsid w:val="0014524C"/>
    <w:rsid w:val="0014743A"/>
    <w:rsid w:val="00151EDB"/>
    <w:rsid w:val="001523A6"/>
    <w:rsid w:val="00154FBC"/>
    <w:rsid w:val="001555CA"/>
    <w:rsid w:val="001561CC"/>
    <w:rsid w:val="001567BF"/>
    <w:rsid w:val="00160DD2"/>
    <w:rsid w:val="00160EA3"/>
    <w:rsid w:val="001618DF"/>
    <w:rsid w:val="001627AB"/>
    <w:rsid w:val="00166167"/>
    <w:rsid w:val="00173273"/>
    <w:rsid w:val="00173529"/>
    <w:rsid w:val="001776FC"/>
    <w:rsid w:val="00183931"/>
    <w:rsid w:val="00184AA9"/>
    <w:rsid w:val="00191895"/>
    <w:rsid w:val="00193BBF"/>
    <w:rsid w:val="00195CD7"/>
    <w:rsid w:val="00196FCF"/>
    <w:rsid w:val="001A04EB"/>
    <w:rsid w:val="001A051C"/>
    <w:rsid w:val="001A6CCE"/>
    <w:rsid w:val="001B1363"/>
    <w:rsid w:val="001B7620"/>
    <w:rsid w:val="001C38AB"/>
    <w:rsid w:val="001C50B7"/>
    <w:rsid w:val="001C5EE1"/>
    <w:rsid w:val="001C6332"/>
    <w:rsid w:val="001C7BF6"/>
    <w:rsid w:val="001D2247"/>
    <w:rsid w:val="001F5AE1"/>
    <w:rsid w:val="001F78C5"/>
    <w:rsid w:val="002006FE"/>
    <w:rsid w:val="00201A20"/>
    <w:rsid w:val="002052EB"/>
    <w:rsid w:val="002147D8"/>
    <w:rsid w:val="00214CF6"/>
    <w:rsid w:val="00217D17"/>
    <w:rsid w:val="00222485"/>
    <w:rsid w:val="00225E00"/>
    <w:rsid w:val="00232495"/>
    <w:rsid w:val="00236711"/>
    <w:rsid w:val="00243E87"/>
    <w:rsid w:val="00245906"/>
    <w:rsid w:val="00246181"/>
    <w:rsid w:val="0025141E"/>
    <w:rsid w:val="002526B9"/>
    <w:rsid w:val="00257B77"/>
    <w:rsid w:val="002625DF"/>
    <w:rsid w:val="002663F2"/>
    <w:rsid w:val="002737AA"/>
    <w:rsid w:val="00281C01"/>
    <w:rsid w:val="0028244A"/>
    <w:rsid w:val="002846B1"/>
    <w:rsid w:val="00286D69"/>
    <w:rsid w:val="0029160B"/>
    <w:rsid w:val="00291EC2"/>
    <w:rsid w:val="0029273C"/>
    <w:rsid w:val="00292E51"/>
    <w:rsid w:val="00294EED"/>
    <w:rsid w:val="002A070A"/>
    <w:rsid w:val="002A076C"/>
    <w:rsid w:val="002A5F7D"/>
    <w:rsid w:val="002A78A5"/>
    <w:rsid w:val="002B081B"/>
    <w:rsid w:val="002B1038"/>
    <w:rsid w:val="002B7131"/>
    <w:rsid w:val="002C12C3"/>
    <w:rsid w:val="002C170F"/>
    <w:rsid w:val="002C4E89"/>
    <w:rsid w:val="002C78E5"/>
    <w:rsid w:val="002D6DC1"/>
    <w:rsid w:val="002E1FD0"/>
    <w:rsid w:val="002E256B"/>
    <w:rsid w:val="002E68B8"/>
    <w:rsid w:val="002E7B77"/>
    <w:rsid w:val="002F0612"/>
    <w:rsid w:val="00302211"/>
    <w:rsid w:val="00307185"/>
    <w:rsid w:val="00312E55"/>
    <w:rsid w:val="00313B8A"/>
    <w:rsid w:val="00314182"/>
    <w:rsid w:val="00327693"/>
    <w:rsid w:val="00330481"/>
    <w:rsid w:val="0033136C"/>
    <w:rsid w:val="00342223"/>
    <w:rsid w:val="003433F0"/>
    <w:rsid w:val="00344F9D"/>
    <w:rsid w:val="0034648B"/>
    <w:rsid w:val="00361088"/>
    <w:rsid w:val="003617BA"/>
    <w:rsid w:val="003641B1"/>
    <w:rsid w:val="00366B43"/>
    <w:rsid w:val="003674F2"/>
    <w:rsid w:val="00367B9F"/>
    <w:rsid w:val="00371345"/>
    <w:rsid w:val="003727BC"/>
    <w:rsid w:val="003736AE"/>
    <w:rsid w:val="00374D44"/>
    <w:rsid w:val="00381DAF"/>
    <w:rsid w:val="00383A32"/>
    <w:rsid w:val="00385A1E"/>
    <w:rsid w:val="00386801"/>
    <w:rsid w:val="00387D44"/>
    <w:rsid w:val="0039007C"/>
    <w:rsid w:val="003901E5"/>
    <w:rsid w:val="00391E56"/>
    <w:rsid w:val="00391F80"/>
    <w:rsid w:val="003930C6"/>
    <w:rsid w:val="00393437"/>
    <w:rsid w:val="0039790B"/>
    <w:rsid w:val="003A697E"/>
    <w:rsid w:val="003A78DC"/>
    <w:rsid w:val="003B46F7"/>
    <w:rsid w:val="003B4DF0"/>
    <w:rsid w:val="003B5D2C"/>
    <w:rsid w:val="003B6D9F"/>
    <w:rsid w:val="003C1440"/>
    <w:rsid w:val="003C2E0A"/>
    <w:rsid w:val="003C443D"/>
    <w:rsid w:val="003D039D"/>
    <w:rsid w:val="003D03CC"/>
    <w:rsid w:val="003D252A"/>
    <w:rsid w:val="003D4B3D"/>
    <w:rsid w:val="003D4EF6"/>
    <w:rsid w:val="003D58FF"/>
    <w:rsid w:val="003E5992"/>
    <w:rsid w:val="003E5C0E"/>
    <w:rsid w:val="003E73BC"/>
    <w:rsid w:val="003F2259"/>
    <w:rsid w:val="003F4DBE"/>
    <w:rsid w:val="003F6FBC"/>
    <w:rsid w:val="00400C48"/>
    <w:rsid w:val="0040162F"/>
    <w:rsid w:val="00410E83"/>
    <w:rsid w:val="004138E1"/>
    <w:rsid w:val="004169C9"/>
    <w:rsid w:val="00417567"/>
    <w:rsid w:val="004223A0"/>
    <w:rsid w:val="00422D53"/>
    <w:rsid w:val="004234A2"/>
    <w:rsid w:val="00423D64"/>
    <w:rsid w:val="00424565"/>
    <w:rsid w:val="00425217"/>
    <w:rsid w:val="00437562"/>
    <w:rsid w:val="00437704"/>
    <w:rsid w:val="0044424F"/>
    <w:rsid w:val="0044704B"/>
    <w:rsid w:val="004501CE"/>
    <w:rsid w:val="00457BC3"/>
    <w:rsid w:val="00462B90"/>
    <w:rsid w:val="00467E05"/>
    <w:rsid w:val="00472548"/>
    <w:rsid w:val="004744A6"/>
    <w:rsid w:val="0047682E"/>
    <w:rsid w:val="0048118B"/>
    <w:rsid w:val="004811DD"/>
    <w:rsid w:val="004848AD"/>
    <w:rsid w:val="00485DB5"/>
    <w:rsid w:val="0049048C"/>
    <w:rsid w:val="00494101"/>
    <w:rsid w:val="00494255"/>
    <w:rsid w:val="00494BD8"/>
    <w:rsid w:val="00494EA6"/>
    <w:rsid w:val="004978A7"/>
    <w:rsid w:val="004A4584"/>
    <w:rsid w:val="004A4D20"/>
    <w:rsid w:val="004A5774"/>
    <w:rsid w:val="004B11D7"/>
    <w:rsid w:val="004B1A6B"/>
    <w:rsid w:val="004B20CF"/>
    <w:rsid w:val="004B23EE"/>
    <w:rsid w:val="004C0317"/>
    <w:rsid w:val="004C0EEB"/>
    <w:rsid w:val="004C208F"/>
    <w:rsid w:val="004C4D44"/>
    <w:rsid w:val="004D345C"/>
    <w:rsid w:val="004D7061"/>
    <w:rsid w:val="004D7EC2"/>
    <w:rsid w:val="004E3F50"/>
    <w:rsid w:val="004F0576"/>
    <w:rsid w:val="004F2F77"/>
    <w:rsid w:val="0050007B"/>
    <w:rsid w:val="00500D2B"/>
    <w:rsid w:val="00504197"/>
    <w:rsid w:val="0051483C"/>
    <w:rsid w:val="005169DF"/>
    <w:rsid w:val="00521D0B"/>
    <w:rsid w:val="00525267"/>
    <w:rsid w:val="00525F00"/>
    <w:rsid w:val="005377FB"/>
    <w:rsid w:val="00550FC7"/>
    <w:rsid w:val="005536FA"/>
    <w:rsid w:val="005546BB"/>
    <w:rsid w:val="0055490D"/>
    <w:rsid w:val="005554C0"/>
    <w:rsid w:val="00555EDB"/>
    <w:rsid w:val="00563813"/>
    <w:rsid w:val="00563FA4"/>
    <w:rsid w:val="0056414C"/>
    <w:rsid w:val="00564FF7"/>
    <w:rsid w:val="005735D2"/>
    <w:rsid w:val="00576C61"/>
    <w:rsid w:val="005779A1"/>
    <w:rsid w:val="00591E09"/>
    <w:rsid w:val="005948A1"/>
    <w:rsid w:val="00596706"/>
    <w:rsid w:val="005A54EF"/>
    <w:rsid w:val="005A76A2"/>
    <w:rsid w:val="005B1FAA"/>
    <w:rsid w:val="005B344A"/>
    <w:rsid w:val="005B52C6"/>
    <w:rsid w:val="005B61AD"/>
    <w:rsid w:val="005C3B68"/>
    <w:rsid w:val="005C47B6"/>
    <w:rsid w:val="005C4F62"/>
    <w:rsid w:val="005D07E7"/>
    <w:rsid w:val="005D71FB"/>
    <w:rsid w:val="005E0694"/>
    <w:rsid w:val="005E3AA6"/>
    <w:rsid w:val="005E56AC"/>
    <w:rsid w:val="005F2943"/>
    <w:rsid w:val="005F5DC2"/>
    <w:rsid w:val="005F66BD"/>
    <w:rsid w:val="00604C12"/>
    <w:rsid w:val="00605C08"/>
    <w:rsid w:val="0061116A"/>
    <w:rsid w:val="006160EE"/>
    <w:rsid w:val="00624A89"/>
    <w:rsid w:val="006316BD"/>
    <w:rsid w:val="006317FB"/>
    <w:rsid w:val="00632F93"/>
    <w:rsid w:val="00632FFC"/>
    <w:rsid w:val="00633E00"/>
    <w:rsid w:val="006357EB"/>
    <w:rsid w:val="0064151F"/>
    <w:rsid w:val="006420E2"/>
    <w:rsid w:val="00644E0B"/>
    <w:rsid w:val="0064674B"/>
    <w:rsid w:val="00646D66"/>
    <w:rsid w:val="00650BAE"/>
    <w:rsid w:val="006531D9"/>
    <w:rsid w:val="006549A0"/>
    <w:rsid w:val="00657D38"/>
    <w:rsid w:val="006641D6"/>
    <w:rsid w:val="00667FC9"/>
    <w:rsid w:val="00674FBF"/>
    <w:rsid w:val="006765D8"/>
    <w:rsid w:val="00691EE3"/>
    <w:rsid w:val="00694B25"/>
    <w:rsid w:val="00695512"/>
    <w:rsid w:val="00696974"/>
    <w:rsid w:val="00697FA9"/>
    <w:rsid w:val="006A2EC0"/>
    <w:rsid w:val="006A7895"/>
    <w:rsid w:val="006B0C01"/>
    <w:rsid w:val="006B0E6D"/>
    <w:rsid w:val="006B156D"/>
    <w:rsid w:val="006B3E8A"/>
    <w:rsid w:val="006B6ADE"/>
    <w:rsid w:val="006C122D"/>
    <w:rsid w:val="006C2059"/>
    <w:rsid w:val="006C4C73"/>
    <w:rsid w:val="006C4CBD"/>
    <w:rsid w:val="006C565F"/>
    <w:rsid w:val="006C74DF"/>
    <w:rsid w:val="006E0ECE"/>
    <w:rsid w:val="006E2E76"/>
    <w:rsid w:val="006E4383"/>
    <w:rsid w:val="006E535D"/>
    <w:rsid w:val="006F02CC"/>
    <w:rsid w:val="006F6862"/>
    <w:rsid w:val="00706A92"/>
    <w:rsid w:val="00710F31"/>
    <w:rsid w:val="007111F2"/>
    <w:rsid w:val="00717D67"/>
    <w:rsid w:val="0072033A"/>
    <w:rsid w:val="00722D33"/>
    <w:rsid w:val="007246C2"/>
    <w:rsid w:val="00727327"/>
    <w:rsid w:val="00727CE3"/>
    <w:rsid w:val="007310C5"/>
    <w:rsid w:val="0073569C"/>
    <w:rsid w:val="00737D94"/>
    <w:rsid w:val="007415AB"/>
    <w:rsid w:val="00743BEC"/>
    <w:rsid w:val="00746315"/>
    <w:rsid w:val="00746CB9"/>
    <w:rsid w:val="00750FEB"/>
    <w:rsid w:val="00751C46"/>
    <w:rsid w:val="00752A81"/>
    <w:rsid w:val="0075431D"/>
    <w:rsid w:val="0075747B"/>
    <w:rsid w:val="00764F0B"/>
    <w:rsid w:val="00765A8A"/>
    <w:rsid w:val="007702C0"/>
    <w:rsid w:val="007702FB"/>
    <w:rsid w:val="00773EFC"/>
    <w:rsid w:val="007830BB"/>
    <w:rsid w:val="00786CB2"/>
    <w:rsid w:val="00793B25"/>
    <w:rsid w:val="007A2B7B"/>
    <w:rsid w:val="007A5C28"/>
    <w:rsid w:val="007A7907"/>
    <w:rsid w:val="007B3ECD"/>
    <w:rsid w:val="007B3F30"/>
    <w:rsid w:val="007C0B13"/>
    <w:rsid w:val="007C1677"/>
    <w:rsid w:val="007C1697"/>
    <w:rsid w:val="007D0BD4"/>
    <w:rsid w:val="007D3E1F"/>
    <w:rsid w:val="007D5C0B"/>
    <w:rsid w:val="007E1851"/>
    <w:rsid w:val="007E1C78"/>
    <w:rsid w:val="007E5344"/>
    <w:rsid w:val="007F0558"/>
    <w:rsid w:val="007F66D1"/>
    <w:rsid w:val="007F6F17"/>
    <w:rsid w:val="007F7CD0"/>
    <w:rsid w:val="00816C2A"/>
    <w:rsid w:val="0082088F"/>
    <w:rsid w:val="008218D8"/>
    <w:rsid w:val="00821A4B"/>
    <w:rsid w:val="0082207F"/>
    <w:rsid w:val="00824F4C"/>
    <w:rsid w:val="00827E84"/>
    <w:rsid w:val="00830504"/>
    <w:rsid w:val="00830B29"/>
    <w:rsid w:val="008360EF"/>
    <w:rsid w:val="00840AA5"/>
    <w:rsid w:val="008426D4"/>
    <w:rsid w:val="00842B47"/>
    <w:rsid w:val="00846D52"/>
    <w:rsid w:val="0084754E"/>
    <w:rsid w:val="008526B4"/>
    <w:rsid w:val="0085512B"/>
    <w:rsid w:val="00855BD9"/>
    <w:rsid w:val="0085694B"/>
    <w:rsid w:val="00860D5D"/>
    <w:rsid w:val="00865272"/>
    <w:rsid w:val="008720F1"/>
    <w:rsid w:val="0087419D"/>
    <w:rsid w:val="00875007"/>
    <w:rsid w:val="00882F06"/>
    <w:rsid w:val="00891073"/>
    <w:rsid w:val="00891817"/>
    <w:rsid w:val="00891C52"/>
    <w:rsid w:val="00892E31"/>
    <w:rsid w:val="008A144D"/>
    <w:rsid w:val="008A3E52"/>
    <w:rsid w:val="008A5642"/>
    <w:rsid w:val="008A660A"/>
    <w:rsid w:val="008A675F"/>
    <w:rsid w:val="008A7918"/>
    <w:rsid w:val="008B3B96"/>
    <w:rsid w:val="008B42C1"/>
    <w:rsid w:val="008C4AFD"/>
    <w:rsid w:val="008C4BE3"/>
    <w:rsid w:val="008E28D0"/>
    <w:rsid w:val="008E3B96"/>
    <w:rsid w:val="008E508C"/>
    <w:rsid w:val="008F0CB4"/>
    <w:rsid w:val="008F0DCB"/>
    <w:rsid w:val="008F114C"/>
    <w:rsid w:val="008F5D69"/>
    <w:rsid w:val="008F7AFF"/>
    <w:rsid w:val="009051A2"/>
    <w:rsid w:val="00906AD9"/>
    <w:rsid w:val="00906D61"/>
    <w:rsid w:val="00910127"/>
    <w:rsid w:val="00911C03"/>
    <w:rsid w:val="00911D27"/>
    <w:rsid w:val="00914FC0"/>
    <w:rsid w:val="0092112F"/>
    <w:rsid w:val="00921671"/>
    <w:rsid w:val="009259BD"/>
    <w:rsid w:val="00932D1E"/>
    <w:rsid w:val="00936B73"/>
    <w:rsid w:val="0094442E"/>
    <w:rsid w:val="00944994"/>
    <w:rsid w:val="00946202"/>
    <w:rsid w:val="00946B96"/>
    <w:rsid w:val="00950E29"/>
    <w:rsid w:val="00951435"/>
    <w:rsid w:val="00952218"/>
    <w:rsid w:val="00954985"/>
    <w:rsid w:val="00956B17"/>
    <w:rsid w:val="00964CB7"/>
    <w:rsid w:val="00970650"/>
    <w:rsid w:val="0097088E"/>
    <w:rsid w:val="009714F1"/>
    <w:rsid w:val="00972150"/>
    <w:rsid w:val="00974787"/>
    <w:rsid w:val="0098591A"/>
    <w:rsid w:val="009869B9"/>
    <w:rsid w:val="00986F7F"/>
    <w:rsid w:val="00987506"/>
    <w:rsid w:val="009914DD"/>
    <w:rsid w:val="00991C6C"/>
    <w:rsid w:val="00992C8B"/>
    <w:rsid w:val="009A23FF"/>
    <w:rsid w:val="009A424B"/>
    <w:rsid w:val="009B0398"/>
    <w:rsid w:val="009B0D98"/>
    <w:rsid w:val="009B5624"/>
    <w:rsid w:val="009B7C9F"/>
    <w:rsid w:val="009D516D"/>
    <w:rsid w:val="009D7EB8"/>
    <w:rsid w:val="009E35D9"/>
    <w:rsid w:val="009E4C91"/>
    <w:rsid w:val="009E5A17"/>
    <w:rsid w:val="009E6BB2"/>
    <w:rsid w:val="009E7251"/>
    <w:rsid w:val="009E726E"/>
    <w:rsid w:val="009E7497"/>
    <w:rsid w:val="009F0348"/>
    <w:rsid w:val="009F2BDB"/>
    <w:rsid w:val="009F4216"/>
    <w:rsid w:val="00A01920"/>
    <w:rsid w:val="00A02CD4"/>
    <w:rsid w:val="00A02E0A"/>
    <w:rsid w:val="00A04C6C"/>
    <w:rsid w:val="00A13C86"/>
    <w:rsid w:val="00A13DAE"/>
    <w:rsid w:val="00A1637E"/>
    <w:rsid w:val="00A177A4"/>
    <w:rsid w:val="00A22F9A"/>
    <w:rsid w:val="00A23217"/>
    <w:rsid w:val="00A25592"/>
    <w:rsid w:val="00A42BFA"/>
    <w:rsid w:val="00A4434E"/>
    <w:rsid w:val="00A508B6"/>
    <w:rsid w:val="00A5430A"/>
    <w:rsid w:val="00A548F5"/>
    <w:rsid w:val="00A75A41"/>
    <w:rsid w:val="00A77B49"/>
    <w:rsid w:val="00A8167C"/>
    <w:rsid w:val="00A835D7"/>
    <w:rsid w:val="00A85FE2"/>
    <w:rsid w:val="00A878EB"/>
    <w:rsid w:val="00A9481A"/>
    <w:rsid w:val="00AA7316"/>
    <w:rsid w:val="00AB06B7"/>
    <w:rsid w:val="00AB1DAF"/>
    <w:rsid w:val="00AB32C1"/>
    <w:rsid w:val="00AB6347"/>
    <w:rsid w:val="00AC4FA7"/>
    <w:rsid w:val="00AD5A5D"/>
    <w:rsid w:val="00AE2927"/>
    <w:rsid w:val="00AE7E0E"/>
    <w:rsid w:val="00AF153A"/>
    <w:rsid w:val="00AF2A10"/>
    <w:rsid w:val="00AF3E69"/>
    <w:rsid w:val="00AF4577"/>
    <w:rsid w:val="00B0007D"/>
    <w:rsid w:val="00B044F0"/>
    <w:rsid w:val="00B05BBA"/>
    <w:rsid w:val="00B06897"/>
    <w:rsid w:val="00B11650"/>
    <w:rsid w:val="00B13842"/>
    <w:rsid w:val="00B16F90"/>
    <w:rsid w:val="00B2292A"/>
    <w:rsid w:val="00B22DEF"/>
    <w:rsid w:val="00B2327F"/>
    <w:rsid w:val="00B232C1"/>
    <w:rsid w:val="00B241D6"/>
    <w:rsid w:val="00B25D47"/>
    <w:rsid w:val="00B31628"/>
    <w:rsid w:val="00B419B6"/>
    <w:rsid w:val="00B521CA"/>
    <w:rsid w:val="00B60D12"/>
    <w:rsid w:val="00B72B5E"/>
    <w:rsid w:val="00B81D0B"/>
    <w:rsid w:val="00B83117"/>
    <w:rsid w:val="00B84D0F"/>
    <w:rsid w:val="00B8509D"/>
    <w:rsid w:val="00B87434"/>
    <w:rsid w:val="00B9007E"/>
    <w:rsid w:val="00B912F8"/>
    <w:rsid w:val="00B92471"/>
    <w:rsid w:val="00B939E0"/>
    <w:rsid w:val="00B96EC2"/>
    <w:rsid w:val="00BA07EC"/>
    <w:rsid w:val="00BC5E09"/>
    <w:rsid w:val="00BC73E1"/>
    <w:rsid w:val="00BD008F"/>
    <w:rsid w:val="00BD3437"/>
    <w:rsid w:val="00BD4263"/>
    <w:rsid w:val="00BD6FA0"/>
    <w:rsid w:val="00BD76E8"/>
    <w:rsid w:val="00BE0345"/>
    <w:rsid w:val="00BE1B19"/>
    <w:rsid w:val="00BE2F2B"/>
    <w:rsid w:val="00BF7801"/>
    <w:rsid w:val="00C043B7"/>
    <w:rsid w:val="00C07ECE"/>
    <w:rsid w:val="00C124D5"/>
    <w:rsid w:val="00C12CA1"/>
    <w:rsid w:val="00C27689"/>
    <w:rsid w:val="00C323BB"/>
    <w:rsid w:val="00C404A1"/>
    <w:rsid w:val="00C47613"/>
    <w:rsid w:val="00C47A2D"/>
    <w:rsid w:val="00C50F67"/>
    <w:rsid w:val="00C52D7A"/>
    <w:rsid w:val="00C605CC"/>
    <w:rsid w:val="00C73A84"/>
    <w:rsid w:val="00C7648B"/>
    <w:rsid w:val="00C77B18"/>
    <w:rsid w:val="00C77BB4"/>
    <w:rsid w:val="00C855B6"/>
    <w:rsid w:val="00C90F64"/>
    <w:rsid w:val="00C969E8"/>
    <w:rsid w:val="00C97049"/>
    <w:rsid w:val="00CA20CC"/>
    <w:rsid w:val="00CA56F4"/>
    <w:rsid w:val="00CA6559"/>
    <w:rsid w:val="00CB35E0"/>
    <w:rsid w:val="00CB4F23"/>
    <w:rsid w:val="00CC04B5"/>
    <w:rsid w:val="00CC1E06"/>
    <w:rsid w:val="00CD2316"/>
    <w:rsid w:val="00CE194C"/>
    <w:rsid w:val="00CE2993"/>
    <w:rsid w:val="00CE50C5"/>
    <w:rsid w:val="00CE6726"/>
    <w:rsid w:val="00CF1A3A"/>
    <w:rsid w:val="00CF2505"/>
    <w:rsid w:val="00CF476D"/>
    <w:rsid w:val="00CF4CCA"/>
    <w:rsid w:val="00D01D1E"/>
    <w:rsid w:val="00D024D2"/>
    <w:rsid w:val="00D03806"/>
    <w:rsid w:val="00D05776"/>
    <w:rsid w:val="00D1720D"/>
    <w:rsid w:val="00D21958"/>
    <w:rsid w:val="00D2789B"/>
    <w:rsid w:val="00D301AC"/>
    <w:rsid w:val="00D33DD1"/>
    <w:rsid w:val="00D3442D"/>
    <w:rsid w:val="00D34BD6"/>
    <w:rsid w:val="00D3769D"/>
    <w:rsid w:val="00D41E41"/>
    <w:rsid w:val="00D4398F"/>
    <w:rsid w:val="00D45167"/>
    <w:rsid w:val="00D5030A"/>
    <w:rsid w:val="00D51FBB"/>
    <w:rsid w:val="00D541D6"/>
    <w:rsid w:val="00D61475"/>
    <w:rsid w:val="00D6520B"/>
    <w:rsid w:val="00D66990"/>
    <w:rsid w:val="00D67EE3"/>
    <w:rsid w:val="00D70839"/>
    <w:rsid w:val="00D71407"/>
    <w:rsid w:val="00D7209A"/>
    <w:rsid w:val="00D73F38"/>
    <w:rsid w:val="00D747F2"/>
    <w:rsid w:val="00D8402A"/>
    <w:rsid w:val="00D85E13"/>
    <w:rsid w:val="00D86A08"/>
    <w:rsid w:val="00D86AD3"/>
    <w:rsid w:val="00D87435"/>
    <w:rsid w:val="00D90DE9"/>
    <w:rsid w:val="00D91323"/>
    <w:rsid w:val="00D93464"/>
    <w:rsid w:val="00D936AA"/>
    <w:rsid w:val="00DA12F2"/>
    <w:rsid w:val="00DA1E24"/>
    <w:rsid w:val="00DA1E70"/>
    <w:rsid w:val="00DA438D"/>
    <w:rsid w:val="00DA4E44"/>
    <w:rsid w:val="00DA5CE1"/>
    <w:rsid w:val="00DB202A"/>
    <w:rsid w:val="00DB2EC4"/>
    <w:rsid w:val="00DB4D6A"/>
    <w:rsid w:val="00DB599C"/>
    <w:rsid w:val="00DC04C9"/>
    <w:rsid w:val="00DD0CD9"/>
    <w:rsid w:val="00DD4BFC"/>
    <w:rsid w:val="00DD5F6F"/>
    <w:rsid w:val="00DE6305"/>
    <w:rsid w:val="00DF0B7B"/>
    <w:rsid w:val="00DF1B7B"/>
    <w:rsid w:val="00DF4C1C"/>
    <w:rsid w:val="00DF6398"/>
    <w:rsid w:val="00E008E2"/>
    <w:rsid w:val="00E063DB"/>
    <w:rsid w:val="00E1540E"/>
    <w:rsid w:val="00E219F0"/>
    <w:rsid w:val="00E22BEE"/>
    <w:rsid w:val="00E30621"/>
    <w:rsid w:val="00E376FF"/>
    <w:rsid w:val="00E41AF9"/>
    <w:rsid w:val="00E5445D"/>
    <w:rsid w:val="00E56C22"/>
    <w:rsid w:val="00E60299"/>
    <w:rsid w:val="00E63053"/>
    <w:rsid w:val="00E6349A"/>
    <w:rsid w:val="00E63E7E"/>
    <w:rsid w:val="00E76706"/>
    <w:rsid w:val="00E80E22"/>
    <w:rsid w:val="00E813D2"/>
    <w:rsid w:val="00E81F42"/>
    <w:rsid w:val="00E83A3C"/>
    <w:rsid w:val="00E843F4"/>
    <w:rsid w:val="00E849EC"/>
    <w:rsid w:val="00E8778A"/>
    <w:rsid w:val="00E87C36"/>
    <w:rsid w:val="00E9745A"/>
    <w:rsid w:val="00EA07F3"/>
    <w:rsid w:val="00EA2C44"/>
    <w:rsid w:val="00EA6E77"/>
    <w:rsid w:val="00EB0088"/>
    <w:rsid w:val="00EB03C0"/>
    <w:rsid w:val="00EB0CE6"/>
    <w:rsid w:val="00ED02B3"/>
    <w:rsid w:val="00EF3CA2"/>
    <w:rsid w:val="00F024B1"/>
    <w:rsid w:val="00F05A71"/>
    <w:rsid w:val="00F12071"/>
    <w:rsid w:val="00F16721"/>
    <w:rsid w:val="00F21FDD"/>
    <w:rsid w:val="00F230DC"/>
    <w:rsid w:val="00F279E2"/>
    <w:rsid w:val="00F3093E"/>
    <w:rsid w:val="00F34A1D"/>
    <w:rsid w:val="00F36006"/>
    <w:rsid w:val="00F440D7"/>
    <w:rsid w:val="00F57DB1"/>
    <w:rsid w:val="00F60BD1"/>
    <w:rsid w:val="00F63971"/>
    <w:rsid w:val="00F64479"/>
    <w:rsid w:val="00F665FA"/>
    <w:rsid w:val="00F66E8C"/>
    <w:rsid w:val="00F67D4C"/>
    <w:rsid w:val="00F717EC"/>
    <w:rsid w:val="00F815BC"/>
    <w:rsid w:val="00F85AD3"/>
    <w:rsid w:val="00F879F2"/>
    <w:rsid w:val="00F92091"/>
    <w:rsid w:val="00F93955"/>
    <w:rsid w:val="00FA5885"/>
    <w:rsid w:val="00FA747E"/>
    <w:rsid w:val="00FB0255"/>
    <w:rsid w:val="00FB1D76"/>
    <w:rsid w:val="00FB2422"/>
    <w:rsid w:val="00FB59A8"/>
    <w:rsid w:val="00FB623C"/>
    <w:rsid w:val="00FB62F6"/>
    <w:rsid w:val="00FC1FE5"/>
    <w:rsid w:val="00FC24E8"/>
    <w:rsid w:val="00FC7269"/>
    <w:rsid w:val="00FD00BC"/>
    <w:rsid w:val="00FD045F"/>
    <w:rsid w:val="00FD089A"/>
    <w:rsid w:val="00FD2761"/>
    <w:rsid w:val="00FD2962"/>
    <w:rsid w:val="00FD7567"/>
    <w:rsid w:val="00FD7661"/>
    <w:rsid w:val="00FE25FE"/>
    <w:rsid w:val="00FE261D"/>
    <w:rsid w:val="00FE47A0"/>
    <w:rsid w:val="00FE67FB"/>
    <w:rsid w:val="00FF7AB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72B3E3"/>
  <w15:chartTrackingRefBased/>
  <w15:docId w15:val="{0148C08C-8E36-442E-8048-7C55261A4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de-DE" w:eastAsia="de-DE"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4"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30504"/>
    <w:pPr>
      <w:spacing w:before="0" w:after="240" w:line="360" w:lineRule="auto"/>
      <w:jc w:val="both"/>
    </w:pPr>
    <w:rPr>
      <w:rFonts w:cs="Times New Roman"/>
      <w:sz w:val="22"/>
      <w:szCs w:val="24"/>
      <w:lang w:val="de-AT"/>
    </w:rPr>
  </w:style>
  <w:style w:type="paragraph" w:styleId="berschrift1">
    <w:name w:val="heading 1"/>
    <w:basedOn w:val="Standard"/>
    <w:next w:val="Standard"/>
    <w:link w:val="berschrift1Zchn"/>
    <w:uiPriority w:val="9"/>
    <w:qFormat/>
    <w:rsid w:val="005B61AD"/>
    <w:pPr>
      <w:keepNext/>
      <w:keepLines/>
      <w:numPr>
        <w:numId w:val="17"/>
      </w:numPr>
      <w:spacing w:before="480" w:line="276" w:lineRule="auto"/>
      <w:jc w:val="center"/>
      <w:outlineLvl w:val="0"/>
    </w:pPr>
    <w:rPr>
      <w:rFonts w:asciiTheme="majorHAnsi" w:eastAsiaTheme="majorEastAsia" w:hAnsiTheme="majorHAnsi" w:cstheme="majorBidi"/>
      <w:b/>
      <w:sz w:val="24"/>
      <w:szCs w:val="32"/>
      <w:lang w:eastAsia="de-AT"/>
    </w:rPr>
  </w:style>
  <w:style w:type="paragraph" w:styleId="berschrift2">
    <w:name w:val="heading 2"/>
    <w:basedOn w:val="berschrift1"/>
    <w:next w:val="Standard"/>
    <w:link w:val="berschrift2Zchn"/>
    <w:uiPriority w:val="9"/>
    <w:unhideWhenUsed/>
    <w:qFormat/>
    <w:rsid w:val="00FA5885"/>
    <w:pPr>
      <w:numPr>
        <w:ilvl w:val="1"/>
      </w:numPr>
      <w:spacing w:before="120" w:after="120" w:line="320" w:lineRule="atLeast"/>
      <w:jc w:val="left"/>
      <w:outlineLvl w:val="1"/>
    </w:pPr>
  </w:style>
  <w:style w:type="paragraph" w:styleId="berschrift3">
    <w:name w:val="heading 3"/>
    <w:basedOn w:val="berschrift2"/>
    <w:next w:val="Standard"/>
    <w:link w:val="berschrift3Zchn"/>
    <w:uiPriority w:val="9"/>
    <w:unhideWhenUsed/>
    <w:qFormat/>
    <w:rsid w:val="005B61AD"/>
    <w:pPr>
      <w:numPr>
        <w:ilvl w:val="2"/>
      </w:numPr>
      <w:outlineLvl w:val="2"/>
    </w:pPr>
  </w:style>
  <w:style w:type="paragraph" w:styleId="berschrift4">
    <w:name w:val="heading 4"/>
    <w:basedOn w:val="berschrift3"/>
    <w:next w:val="Standard"/>
    <w:link w:val="berschrift4Zchn"/>
    <w:uiPriority w:val="9"/>
    <w:unhideWhenUsed/>
    <w:qFormat/>
    <w:rsid w:val="005B61AD"/>
    <w:pPr>
      <w:numPr>
        <w:ilvl w:val="3"/>
      </w:numPr>
      <w:spacing w:before="240"/>
      <w:outlineLvl w:val="3"/>
    </w:pPr>
    <w:rPr>
      <w:i/>
    </w:rPr>
  </w:style>
  <w:style w:type="paragraph" w:styleId="berschrift5">
    <w:name w:val="heading 5"/>
    <w:basedOn w:val="berschrift4"/>
    <w:next w:val="Standard"/>
    <w:link w:val="berschrift5Zchn"/>
    <w:uiPriority w:val="9"/>
    <w:unhideWhenUsed/>
    <w:qFormat/>
    <w:rsid w:val="005B61AD"/>
    <w:pPr>
      <w:numPr>
        <w:ilvl w:val="4"/>
      </w:numPr>
      <w:outlineLvl w:val="4"/>
    </w:pPr>
    <w:rPr>
      <w:i w:val="0"/>
      <w:sz w:val="22"/>
    </w:rPr>
  </w:style>
  <w:style w:type="paragraph" w:styleId="berschrift6">
    <w:name w:val="heading 6"/>
    <w:basedOn w:val="berschrift5"/>
    <w:next w:val="Standard"/>
    <w:link w:val="berschrift6Zchn"/>
    <w:uiPriority w:val="9"/>
    <w:unhideWhenUsed/>
    <w:qFormat/>
    <w:rsid w:val="005B61AD"/>
    <w:pPr>
      <w:numPr>
        <w:ilvl w:val="5"/>
      </w:numPr>
      <w:outlineLvl w:val="5"/>
    </w:pPr>
    <w:rPr>
      <w:i/>
    </w:rPr>
  </w:style>
  <w:style w:type="paragraph" w:styleId="berschrift7">
    <w:name w:val="heading 7"/>
    <w:basedOn w:val="berschrift6"/>
    <w:next w:val="Standard"/>
    <w:link w:val="berschrift7Zchn"/>
    <w:uiPriority w:val="9"/>
    <w:unhideWhenUsed/>
    <w:qFormat/>
    <w:rsid w:val="005B61AD"/>
    <w:pPr>
      <w:numPr>
        <w:ilvl w:val="6"/>
      </w:numPr>
      <w:spacing w:line="240" w:lineRule="auto"/>
      <w:outlineLvl w:val="6"/>
    </w:pPr>
    <w:rPr>
      <w:b w:val="0"/>
      <w:i w:val="0"/>
    </w:rPr>
  </w:style>
  <w:style w:type="paragraph" w:styleId="berschrift8">
    <w:name w:val="heading 8"/>
    <w:basedOn w:val="berschrift7"/>
    <w:next w:val="Standard"/>
    <w:link w:val="berschrift8Zchn"/>
    <w:uiPriority w:val="9"/>
    <w:unhideWhenUsed/>
    <w:qFormat/>
    <w:rsid w:val="005B61AD"/>
    <w:pPr>
      <w:numPr>
        <w:ilvl w:val="7"/>
      </w:numPr>
      <w:outlineLvl w:val="7"/>
    </w:pPr>
    <w:rPr>
      <w:i/>
      <w:szCs w:val="18"/>
    </w:rPr>
  </w:style>
  <w:style w:type="paragraph" w:styleId="berschrift9">
    <w:name w:val="heading 9"/>
    <w:basedOn w:val="berschrift8"/>
    <w:next w:val="Standard"/>
    <w:link w:val="berschrift9Zchn"/>
    <w:uiPriority w:val="9"/>
    <w:unhideWhenUsed/>
    <w:qFormat/>
    <w:rsid w:val="005B61AD"/>
    <w:pPr>
      <w:numPr>
        <w:ilvl w:val="8"/>
      </w:numPr>
      <w:outlineLvl w:val="8"/>
    </w:pPr>
    <w:rPr>
      <w:i w:val="0"/>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B61AD"/>
    <w:rPr>
      <w:rFonts w:asciiTheme="majorHAnsi" w:eastAsiaTheme="majorEastAsia" w:hAnsiTheme="majorHAnsi" w:cstheme="majorBidi"/>
      <w:b/>
      <w:sz w:val="24"/>
      <w:szCs w:val="32"/>
      <w:lang w:val="de-AT" w:eastAsia="de-AT"/>
    </w:rPr>
  </w:style>
  <w:style w:type="character" w:customStyle="1" w:styleId="berschrift2Zchn">
    <w:name w:val="Überschrift 2 Zchn"/>
    <w:basedOn w:val="Absatz-Standardschriftart"/>
    <w:link w:val="berschrift2"/>
    <w:uiPriority w:val="9"/>
    <w:rsid w:val="00FA5885"/>
    <w:rPr>
      <w:rFonts w:asciiTheme="majorHAnsi" w:eastAsiaTheme="majorEastAsia" w:hAnsiTheme="majorHAnsi" w:cstheme="majorBidi"/>
      <w:b/>
      <w:sz w:val="24"/>
      <w:szCs w:val="32"/>
      <w:lang w:val="de-AT" w:eastAsia="de-AT"/>
    </w:rPr>
  </w:style>
  <w:style w:type="character" w:customStyle="1" w:styleId="berschrift3Zchn">
    <w:name w:val="Überschrift 3 Zchn"/>
    <w:basedOn w:val="Absatz-Standardschriftart"/>
    <w:link w:val="berschrift3"/>
    <w:uiPriority w:val="9"/>
    <w:rsid w:val="005B61AD"/>
    <w:rPr>
      <w:rFonts w:asciiTheme="majorHAnsi" w:eastAsiaTheme="majorEastAsia" w:hAnsiTheme="majorHAnsi" w:cstheme="majorBidi"/>
      <w:b/>
      <w:sz w:val="24"/>
      <w:szCs w:val="32"/>
      <w:lang w:val="de-AT" w:eastAsia="de-AT"/>
    </w:rPr>
  </w:style>
  <w:style w:type="character" w:customStyle="1" w:styleId="berschrift4Zchn">
    <w:name w:val="Überschrift 4 Zchn"/>
    <w:basedOn w:val="Absatz-Standardschriftart"/>
    <w:link w:val="berschrift4"/>
    <w:uiPriority w:val="9"/>
    <w:rsid w:val="005B61AD"/>
    <w:rPr>
      <w:rFonts w:asciiTheme="majorHAnsi" w:eastAsiaTheme="majorEastAsia" w:hAnsiTheme="majorHAnsi" w:cstheme="majorBidi"/>
      <w:b/>
      <w:i/>
      <w:sz w:val="24"/>
      <w:szCs w:val="32"/>
      <w:lang w:val="de-AT" w:eastAsia="de-AT"/>
    </w:rPr>
  </w:style>
  <w:style w:type="character" w:customStyle="1" w:styleId="berschrift5Zchn">
    <w:name w:val="Überschrift 5 Zchn"/>
    <w:basedOn w:val="Absatz-Standardschriftart"/>
    <w:link w:val="berschrift5"/>
    <w:uiPriority w:val="9"/>
    <w:rsid w:val="005B61AD"/>
    <w:rPr>
      <w:rFonts w:asciiTheme="majorHAnsi" w:eastAsiaTheme="majorEastAsia" w:hAnsiTheme="majorHAnsi" w:cstheme="majorBidi"/>
      <w:b/>
      <w:sz w:val="22"/>
      <w:szCs w:val="32"/>
      <w:lang w:val="de-AT" w:eastAsia="de-AT"/>
    </w:rPr>
  </w:style>
  <w:style w:type="character" w:customStyle="1" w:styleId="berschrift6Zchn">
    <w:name w:val="Überschrift 6 Zchn"/>
    <w:basedOn w:val="Absatz-Standardschriftart"/>
    <w:link w:val="berschrift6"/>
    <w:uiPriority w:val="9"/>
    <w:rsid w:val="005B61AD"/>
    <w:rPr>
      <w:rFonts w:asciiTheme="majorHAnsi" w:eastAsiaTheme="majorEastAsia" w:hAnsiTheme="majorHAnsi" w:cstheme="majorBidi"/>
      <w:b/>
      <w:i/>
      <w:sz w:val="22"/>
      <w:szCs w:val="32"/>
      <w:lang w:val="de-AT" w:eastAsia="de-AT"/>
    </w:rPr>
  </w:style>
  <w:style w:type="character" w:customStyle="1" w:styleId="berschrift7Zchn">
    <w:name w:val="Überschrift 7 Zchn"/>
    <w:basedOn w:val="Absatz-Standardschriftart"/>
    <w:link w:val="berschrift7"/>
    <w:uiPriority w:val="9"/>
    <w:rsid w:val="005B61AD"/>
    <w:rPr>
      <w:rFonts w:asciiTheme="majorHAnsi" w:eastAsiaTheme="majorEastAsia" w:hAnsiTheme="majorHAnsi" w:cstheme="majorBidi"/>
      <w:sz w:val="22"/>
      <w:szCs w:val="32"/>
      <w:lang w:val="de-AT" w:eastAsia="de-AT"/>
    </w:rPr>
  </w:style>
  <w:style w:type="character" w:customStyle="1" w:styleId="berschrift8Zchn">
    <w:name w:val="Überschrift 8 Zchn"/>
    <w:basedOn w:val="Absatz-Standardschriftart"/>
    <w:link w:val="berschrift8"/>
    <w:uiPriority w:val="9"/>
    <w:rsid w:val="005B61AD"/>
    <w:rPr>
      <w:rFonts w:asciiTheme="majorHAnsi" w:eastAsiaTheme="majorEastAsia" w:hAnsiTheme="majorHAnsi" w:cstheme="majorBidi"/>
      <w:i/>
      <w:sz w:val="22"/>
      <w:szCs w:val="18"/>
      <w:lang w:val="de-AT" w:eastAsia="de-AT"/>
    </w:rPr>
  </w:style>
  <w:style w:type="character" w:customStyle="1" w:styleId="berschrift9Zchn">
    <w:name w:val="Überschrift 9 Zchn"/>
    <w:basedOn w:val="Absatz-Standardschriftart"/>
    <w:link w:val="berschrift9"/>
    <w:uiPriority w:val="9"/>
    <w:rsid w:val="005B61AD"/>
    <w:rPr>
      <w:rFonts w:asciiTheme="majorHAnsi" w:eastAsiaTheme="majorEastAsia" w:hAnsiTheme="majorHAnsi" w:cstheme="majorBidi"/>
      <w:iCs/>
      <w:sz w:val="22"/>
      <w:szCs w:val="18"/>
      <w:lang w:val="de-AT" w:eastAsia="de-AT"/>
    </w:rPr>
  </w:style>
  <w:style w:type="paragraph" w:styleId="Kopfzeile">
    <w:name w:val="header"/>
    <w:basedOn w:val="Standard"/>
    <w:link w:val="KopfzeileZchn"/>
    <w:uiPriority w:val="99"/>
    <w:unhideWhenUsed/>
    <w:rsid w:val="005B61AD"/>
    <w:pPr>
      <w:tabs>
        <w:tab w:val="center" w:pos="4536"/>
        <w:tab w:val="right" w:pos="9072"/>
      </w:tabs>
      <w:spacing w:after="0" w:line="240" w:lineRule="auto"/>
    </w:pPr>
    <w:rPr>
      <w:color w:val="0066A9" w:themeColor="text2"/>
      <w:sz w:val="16"/>
    </w:rPr>
  </w:style>
  <w:style w:type="character" w:customStyle="1" w:styleId="KopfzeileZchn">
    <w:name w:val="Kopfzeile Zchn"/>
    <w:basedOn w:val="Absatz-Standardschriftart"/>
    <w:link w:val="Kopfzeile"/>
    <w:uiPriority w:val="99"/>
    <w:rsid w:val="005B61AD"/>
    <w:rPr>
      <w:rFonts w:cs="Times New Roman"/>
      <w:color w:val="0066A9" w:themeColor="text2"/>
      <w:sz w:val="16"/>
      <w:szCs w:val="24"/>
    </w:rPr>
  </w:style>
  <w:style w:type="paragraph" w:styleId="Fuzeile">
    <w:name w:val="footer"/>
    <w:basedOn w:val="Standard"/>
    <w:link w:val="FuzeileZchn"/>
    <w:uiPriority w:val="99"/>
    <w:unhideWhenUsed/>
    <w:rsid w:val="005B61AD"/>
    <w:pPr>
      <w:tabs>
        <w:tab w:val="center" w:pos="4536"/>
        <w:tab w:val="right" w:pos="9072"/>
      </w:tabs>
      <w:spacing w:after="0" w:line="240" w:lineRule="auto"/>
    </w:pPr>
    <w:rPr>
      <w:color w:val="0066A9" w:themeColor="text2"/>
      <w:sz w:val="16"/>
    </w:rPr>
  </w:style>
  <w:style w:type="character" w:customStyle="1" w:styleId="FuzeileZchn">
    <w:name w:val="Fußzeile Zchn"/>
    <w:basedOn w:val="Absatz-Standardschriftart"/>
    <w:link w:val="Fuzeile"/>
    <w:uiPriority w:val="99"/>
    <w:rsid w:val="005B61AD"/>
    <w:rPr>
      <w:rFonts w:cs="Times New Roman"/>
      <w:color w:val="0066A9" w:themeColor="text2"/>
      <w:sz w:val="16"/>
      <w:szCs w:val="24"/>
    </w:rPr>
  </w:style>
  <w:style w:type="paragraph" w:styleId="Sprechblasentext">
    <w:name w:val="Balloon Text"/>
    <w:basedOn w:val="Standard"/>
    <w:link w:val="SprechblasentextZchn"/>
    <w:uiPriority w:val="99"/>
    <w:semiHidden/>
    <w:unhideWhenUsed/>
    <w:rsid w:val="005B61AD"/>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5B61AD"/>
    <w:rPr>
      <w:rFonts w:ascii="Tahoma" w:hAnsi="Tahoma" w:cs="Tahoma"/>
      <w:sz w:val="16"/>
      <w:szCs w:val="16"/>
    </w:rPr>
  </w:style>
  <w:style w:type="table" w:styleId="Tabellenraster">
    <w:name w:val="Table Grid"/>
    <w:basedOn w:val="NormaleTabelle"/>
    <w:uiPriority w:val="59"/>
    <w:rsid w:val="005B61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Liste-Akzent1">
    <w:name w:val="Light List Accent 1"/>
    <w:basedOn w:val="NormaleTabelle"/>
    <w:uiPriority w:val="61"/>
    <w:rsid w:val="005B61AD"/>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Funotentext">
    <w:name w:val="footnote text"/>
    <w:basedOn w:val="Standard"/>
    <w:link w:val="FunotentextZchn"/>
    <w:semiHidden/>
    <w:unhideWhenUsed/>
    <w:rsid w:val="005B61AD"/>
    <w:pPr>
      <w:spacing w:after="0" w:line="240" w:lineRule="auto"/>
      <w:jc w:val="left"/>
    </w:pPr>
    <w:rPr>
      <w:sz w:val="18"/>
      <w:szCs w:val="20"/>
    </w:rPr>
  </w:style>
  <w:style w:type="character" w:customStyle="1" w:styleId="FunotentextZchn">
    <w:name w:val="Fußnotentext Zchn"/>
    <w:link w:val="Funotentext"/>
    <w:semiHidden/>
    <w:rsid w:val="005B61AD"/>
    <w:rPr>
      <w:rFonts w:cs="Times New Roman"/>
      <w:sz w:val="18"/>
    </w:rPr>
  </w:style>
  <w:style w:type="character" w:styleId="Funotenzeichen">
    <w:name w:val="footnote reference"/>
    <w:semiHidden/>
    <w:unhideWhenUsed/>
    <w:rsid w:val="005B61AD"/>
    <w:rPr>
      <w:vertAlign w:val="superscript"/>
    </w:rPr>
  </w:style>
  <w:style w:type="paragraph" w:styleId="Beschriftung">
    <w:name w:val="caption"/>
    <w:basedOn w:val="Standard"/>
    <w:next w:val="Standard"/>
    <w:uiPriority w:val="35"/>
    <w:unhideWhenUsed/>
    <w:qFormat/>
    <w:rsid w:val="005B61AD"/>
    <w:rPr>
      <w:b/>
      <w:bCs/>
      <w:color w:val="0066A9" w:themeColor="accent1"/>
      <w:sz w:val="16"/>
      <w:szCs w:val="16"/>
    </w:rPr>
  </w:style>
  <w:style w:type="paragraph" w:styleId="Titel">
    <w:name w:val="Title"/>
    <w:basedOn w:val="Standard"/>
    <w:next w:val="Standard"/>
    <w:link w:val="TitelZchn"/>
    <w:uiPriority w:val="10"/>
    <w:qFormat/>
    <w:rsid w:val="005B61AD"/>
    <w:pPr>
      <w:spacing w:before="1280" w:after="1280" w:line="240" w:lineRule="auto"/>
      <w:jc w:val="center"/>
    </w:pPr>
    <w:rPr>
      <w:rFonts w:ascii="Arial" w:eastAsia="Times New Roman" w:hAnsi="Arial" w:cs="Arial"/>
      <w:b/>
      <w:caps/>
      <w:spacing w:val="140"/>
      <w:sz w:val="28"/>
      <w:szCs w:val="28"/>
    </w:rPr>
  </w:style>
  <w:style w:type="character" w:customStyle="1" w:styleId="TitelZchn">
    <w:name w:val="Titel Zchn"/>
    <w:basedOn w:val="Absatz-Standardschriftart"/>
    <w:link w:val="Titel"/>
    <w:uiPriority w:val="10"/>
    <w:rsid w:val="005B61AD"/>
    <w:rPr>
      <w:rFonts w:ascii="Arial" w:eastAsia="Times New Roman" w:hAnsi="Arial" w:cs="Arial"/>
      <w:b/>
      <w:caps/>
      <w:spacing w:val="140"/>
      <w:sz w:val="28"/>
      <w:szCs w:val="28"/>
      <w:lang w:val="de-AT"/>
    </w:rPr>
  </w:style>
  <w:style w:type="character" w:styleId="Fett">
    <w:name w:val="Strong"/>
    <w:uiPriority w:val="14"/>
    <w:qFormat/>
    <w:rsid w:val="005B61AD"/>
    <w:rPr>
      <w:b/>
      <w:bCs/>
    </w:rPr>
  </w:style>
  <w:style w:type="character" w:styleId="Hervorhebung">
    <w:name w:val="Emphasis"/>
    <w:aliases w:val="Kursiv"/>
    <w:uiPriority w:val="20"/>
    <w:qFormat/>
    <w:rsid w:val="005B61AD"/>
    <w:rPr>
      <w:i/>
      <w:caps w:val="0"/>
      <w:color w:val="auto"/>
      <w:spacing w:val="0"/>
    </w:rPr>
  </w:style>
  <w:style w:type="paragraph" w:styleId="KeinLeerraum">
    <w:name w:val="No Spacing"/>
    <w:link w:val="KeinLeerraumZchn"/>
    <w:uiPriority w:val="1"/>
    <w:qFormat/>
    <w:rsid w:val="005B61AD"/>
    <w:pPr>
      <w:spacing w:before="0" w:after="0"/>
    </w:pPr>
    <w:rPr>
      <w:sz w:val="22"/>
    </w:rPr>
  </w:style>
  <w:style w:type="character" w:customStyle="1" w:styleId="KeinLeerraumZchn">
    <w:name w:val="Kein Leerraum Zchn"/>
    <w:basedOn w:val="Absatz-Standardschriftart"/>
    <w:link w:val="KeinLeerraum"/>
    <w:uiPriority w:val="1"/>
    <w:rsid w:val="005B61AD"/>
    <w:rPr>
      <w:sz w:val="22"/>
    </w:rPr>
  </w:style>
  <w:style w:type="character" w:styleId="SchwacherVerweis">
    <w:name w:val="Subtle Reference"/>
    <w:uiPriority w:val="31"/>
    <w:semiHidden/>
    <w:qFormat/>
    <w:rsid w:val="005B61AD"/>
    <w:rPr>
      <w:b/>
      <w:bCs/>
      <w:color w:val="0066A9" w:themeColor="accent1"/>
    </w:rPr>
  </w:style>
  <w:style w:type="character" w:styleId="IntensiverVerweis">
    <w:name w:val="Intense Reference"/>
    <w:uiPriority w:val="32"/>
    <w:semiHidden/>
    <w:qFormat/>
    <w:rsid w:val="005B61AD"/>
    <w:rPr>
      <w:b/>
      <w:bCs/>
      <w:i/>
      <w:iCs/>
      <w:caps/>
      <w:color w:val="0066A9" w:themeColor="accent1"/>
    </w:rPr>
  </w:style>
  <w:style w:type="character" w:styleId="Buchtitel">
    <w:name w:val="Book Title"/>
    <w:uiPriority w:val="33"/>
    <w:semiHidden/>
    <w:qFormat/>
    <w:rsid w:val="005B61AD"/>
    <w:rPr>
      <w:b/>
      <w:bCs/>
      <w:i/>
      <w:iCs/>
      <w:spacing w:val="0"/>
    </w:rPr>
  </w:style>
  <w:style w:type="paragraph" w:styleId="Inhaltsverzeichnisberschrift">
    <w:name w:val="TOC Heading"/>
    <w:basedOn w:val="berschrift1"/>
    <w:next w:val="Standard"/>
    <w:uiPriority w:val="39"/>
    <w:unhideWhenUsed/>
    <w:qFormat/>
    <w:rsid w:val="005B61AD"/>
    <w:pPr>
      <w:pageBreakBefore/>
      <w:numPr>
        <w:numId w:val="0"/>
      </w:numPr>
      <w:outlineLvl w:val="9"/>
    </w:pPr>
  </w:style>
  <w:style w:type="paragraph" w:styleId="Listenabsatz">
    <w:name w:val="List Paragraph"/>
    <w:basedOn w:val="Standard"/>
    <w:link w:val="ListenabsatzZchn"/>
    <w:uiPriority w:val="34"/>
    <w:qFormat/>
    <w:rsid w:val="005B61AD"/>
    <w:pPr>
      <w:ind w:left="720"/>
      <w:contextualSpacing/>
    </w:pPr>
  </w:style>
  <w:style w:type="character" w:customStyle="1" w:styleId="ListenabsatzZchn">
    <w:name w:val="Listenabsatz Zchn"/>
    <w:basedOn w:val="Absatz-Standardschriftart"/>
    <w:link w:val="Listenabsatz"/>
    <w:uiPriority w:val="34"/>
    <w:rsid w:val="005B61AD"/>
    <w:rPr>
      <w:rFonts w:cs="Times New Roman"/>
      <w:sz w:val="22"/>
      <w:szCs w:val="24"/>
    </w:rPr>
  </w:style>
  <w:style w:type="character" w:styleId="Kommentarzeichen">
    <w:name w:val="annotation reference"/>
    <w:uiPriority w:val="99"/>
    <w:unhideWhenUsed/>
    <w:rsid w:val="005B61AD"/>
    <w:rPr>
      <w:sz w:val="16"/>
      <w:szCs w:val="16"/>
    </w:rPr>
  </w:style>
  <w:style w:type="paragraph" w:styleId="Kommentartext">
    <w:name w:val="annotation text"/>
    <w:basedOn w:val="Standard"/>
    <w:link w:val="KommentartextZchn"/>
    <w:uiPriority w:val="99"/>
    <w:unhideWhenUsed/>
    <w:rsid w:val="005B61AD"/>
    <w:pPr>
      <w:spacing w:after="200" w:line="276" w:lineRule="auto"/>
    </w:pPr>
    <w:rPr>
      <w:rFonts w:ascii="Calibri" w:eastAsia="Calibri" w:hAnsi="Calibri"/>
      <w:sz w:val="20"/>
      <w:szCs w:val="20"/>
      <w:lang w:eastAsia="en-US"/>
    </w:rPr>
  </w:style>
  <w:style w:type="character" w:customStyle="1" w:styleId="KommentartextZchn">
    <w:name w:val="Kommentartext Zchn"/>
    <w:basedOn w:val="Absatz-Standardschriftart"/>
    <w:link w:val="Kommentartext"/>
    <w:uiPriority w:val="99"/>
    <w:rsid w:val="005B61AD"/>
    <w:rPr>
      <w:rFonts w:ascii="Calibri" w:eastAsia="Calibri" w:hAnsi="Calibri" w:cs="Times New Roman"/>
      <w:lang w:eastAsia="en-US"/>
    </w:rPr>
  </w:style>
  <w:style w:type="paragraph" w:styleId="Kommentarthema">
    <w:name w:val="annotation subject"/>
    <w:basedOn w:val="Kommentartext"/>
    <w:next w:val="Kommentartext"/>
    <w:link w:val="KommentarthemaZchn"/>
    <w:uiPriority w:val="99"/>
    <w:semiHidden/>
    <w:unhideWhenUsed/>
    <w:rsid w:val="005B61AD"/>
    <w:pPr>
      <w:spacing w:after="320" w:line="240" w:lineRule="auto"/>
    </w:pPr>
    <w:rPr>
      <w:b/>
      <w:bCs/>
    </w:rPr>
  </w:style>
  <w:style w:type="character" w:customStyle="1" w:styleId="KommentarthemaZchn">
    <w:name w:val="Kommentarthema Zchn"/>
    <w:basedOn w:val="KommentartextZchn"/>
    <w:link w:val="Kommentarthema"/>
    <w:uiPriority w:val="99"/>
    <w:semiHidden/>
    <w:rsid w:val="005B61AD"/>
    <w:rPr>
      <w:rFonts w:ascii="Calibri" w:eastAsia="Calibri" w:hAnsi="Calibri" w:cs="Times New Roman"/>
      <w:b/>
      <w:bCs/>
      <w:lang w:eastAsia="en-US"/>
    </w:rPr>
  </w:style>
  <w:style w:type="table" w:customStyle="1" w:styleId="TableGrid">
    <w:name w:val="TableGrid"/>
    <w:rsid w:val="005B61AD"/>
    <w:rPr>
      <w:lang w:val="de-AT" w:eastAsia="de-AT"/>
    </w:rPr>
    <w:tblPr>
      <w:tblCellMar>
        <w:top w:w="0" w:type="dxa"/>
        <w:left w:w="0" w:type="dxa"/>
        <w:bottom w:w="0" w:type="dxa"/>
        <w:right w:w="0" w:type="dxa"/>
      </w:tblCellMar>
    </w:tblPr>
  </w:style>
  <w:style w:type="character" w:styleId="Hyperlink">
    <w:name w:val="Hyperlink"/>
    <w:basedOn w:val="Absatz-Standardschriftart"/>
    <w:uiPriority w:val="99"/>
    <w:unhideWhenUsed/>
    <w:rsid w:val="005B61AD"/>
    <w:rPr>
      <w:color w:val="0066A9" w:themeColor="hyperlink"/>
      <w:u w:val="none"/>
    </w:rPr>
  </w:style>
  <w:style w:type="character" w:styleId="Platzhaltertext">
    <w:name w:val="Placeholder Text"/>
    <w:basedOn w:val="Absatz-Standardschriftart"/>
    <w:uiPriority w:val="99"/>
    <w:semiHidden/>
    <w:rsid w:val="005B61AD"/>
    <w:rPr>
      <w:color w:val="808080"/>
    </w:rPr>
  </w:style>
  <w:style w:type="paragraph" w:styleId="Zitat">
    <w:name w:val="Quote"/>
    <w:basedOn w:val="Standard"/>
    <w:next w:val="Standard"/>
    <w:link w:val="ZitatZchn"/>
    <w:uiPriority w:val="29"/>
    <w:qFormat/>
    <w:rsid w:val="005B61AD"/>
    <w:pPr>
      <w:ind w:left="397"/>
    </w:pPr>
    <w:rPr>
      <w:i/>
    </w:rPr>
  </w:style>
  <w:style w:type="character" w:customStyle="1" w:styleId="ZitatZchn">
    <w:name w:val="Zitat Zchn"/>
    <w:basedOn w:val="Absatz-Standardschriftart"/>
    <w:link w:val="Zitat"/>
    <w:uiPriority w:val="29"/>
    <w:rsid w:val="005B61AD"/>
    <w:rPr>
      <w:rFonts w:cs="Times New Roman"/>
      <w:i/>
      <w:sz w:val="22"/>
      <w:szCs w:val="24"/>
    </w:rPr>
  </w:style>
  <w:style w:type="paragraph" w:styleId="IntensivesZitat">
    <w:name w:val="Intense Quote"/>
    <w:aliases w:val="Zitat-Überschrift"/>
    <w:basedOn w:val="Zitat"/>
    <w:next w:val="Zitat"/>
    <w:link w:val="IntensivesZitatZchn"/>
    <w:uiPriority w:val="30"/>
    <w:qFormat/>
    <w:rsid w:val="005B61AD"/>
    <w:pPr>
      <w:keepNext/>
    </w:pPr>
    <w:rPr>
      <w:b/>
    </w:rPr>
  </w:style>
  <w:style w:type="character" w:customStyle="1" w:styleId="IntensivesZitatZchn">
    <w:name w:val="Intensives Zitat Zchn"/>
    <w:aliases w:val="Zitat-Überschrift Zchn"/>
    <w:basedOn w:val="Absatz-Standardschriftart"/>
    <w:link w:val="IntensivesZitat"/>
    <w:uiPriority w:val="30"/>
    <w:rsid w:val="005B61AD"/>
    <w:rPr>
      <w:rFonts w:cs="Times New Roman"/>
      <w:b/>
      <w:i/>
      <w:sz w:val="22"/>
      <w:szCs w:val="24"/>
    </w:rPr>
  </w:style>
  <w:style w:type="character" w:styleId="SchwacheHervorhebung">
    <w:name w:val="Subtle Emphasis"/>
    <w:uiPriority w:val="19"/>
    <w:semiHidden/>
    <w:qFormat/>
    <w:rsid w:val="005B61AD"/>
    <w:rPr>
      <w:i/>
      <w:iCs/>
      <w:color w:val="003254" w:themeColor="accent1" w:themeShade="7F"/>
    </w:rPr>
  </w:style>
  <w:style w:type="character" w:styleId="IntensiveHervorhebung">
    <w:name w:val="Intense Emphasis"/>
    <w:uiPriority w:val="21"/>
    <w:semiHidden/>
    <w:qFormat/>
    <w:rsid w:val="005B61AD"/>
    <w:rPr>
      <w:b/>
      <w:bCs/>
      <w:caps/>
      <w:color w:val="003254" w:themeColor="accent1" w:themeShade="7F"/>
      <w:spacing w:val="10"/>
    </w:rPr>
  </w:style>
  <w:style w:type="paragraph" w:styleId="StandardWeb">
    <w:name w:val="Normal (Web)"/>
    <w:basedOn w:val="Standard"/>
    <w:rsid w:val="005B61AD"/>
    <w:pPr>
      <w:spacing w:before="100" w:beforeAutospacing="1" w:after="100" w:afterAutospacing="1" w:line="276" w:lineRule="auto"/>
    </w:pPr>
    <w:rPr>
      <w:rFonts w:ascii="Arial" w:hAnsi="Arial" w:cstheme="minorBidi"/>
      <w:sz w:val="20"/>
      <w:szCs w:val="20"/>
      <w:lang w:eastAsia="de-AT"/>
    </w:rPr>
  </w:style>
  <w:style w:type="paragraph" w:styleId="berarbeitung">
    <w:name w:val="Revision"/>
    <w:hidden/>
    <w:uiPriority w:val="99"/>
    <w:semiHidden/>
    <w:rsid w:val="00D747F2"/>
    <w:rPr>
      <w:lang w:val="de-AT" w:eastAsia="de-AT"/>
    </w:rPr>
  </w:style>
  <w:style w:type="table" w:styleId="Listentabelle3Akzent1">
    <w:name w:val="List Table 3 Accent 1"/>
    <w:basedOn w:val="NormaleTabelle"/>
    <w:uiPriority w:val="48"/>
    <w:rsid w:val="005B61AD"/>
    <w:pPr>
      <w:spacing w:after="0" w:line="240" w:lineRule="auto"/>
    </w:pPr>
    <w:tblPr>
      <w:tblStyleRowBandSize w:val="1"/>
      <w:tblStyleColBandSize w:val="1"/>
      <w:tblBorders>
        <w:top w:val="single" w:sz="4" w:space="0" w:color="0066A9" w:themeColor="accent1"/>
        <w:left w:val="single" w:sz="4" w:space="0" w:color="0066A9" w:themeColor="accent1"/>
        <w:bottom w:val="single" w:sz="4" w:space="0" w:color="0066A9" w:themeColor="accent1"/>
        <w:right w:val="single" w:sz="4" w:space="0" w:color="0066A9" w:themeColor="accent1"/>
      </w:tblBorders>
    </w:tblPr>
    <w:tcPr>
      <w:vAlign w:val="center"/>
    </w:tcPr>
    <w:tblStylePr w:type="firstRow">
      <w:rPr>
        <w:b/>
        <w:bCs/>
        <w:color w:val="FFFFFF" w:themeColor="background1"/>
      </w:rPr>
      <w:tblPr/>
      <w:tcPr>
        <w:shd w:val="clear" w:color="auto" w:fill="0066A9" w:themeFill="accent1"/>
      </w:tcPr>
    </w:tblStylePr>
    <w:tblStylePr w:type="lastRow">
      <w:rPr>
        <w:b/>
        <w:bCs/>
      </w:rPr>
      <w:tblPr/>
      <w:tcPr>
        <w:tcBorders>
          <w:top w:val="double" w:sz="4" w:space="0" w:color="0066A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66A9" w:themeColor="accent1"/>
          <w:right w:val="single" w:sz="4" w:space="0" w:color="0066A9" w:themeColor="accent1"/>
        </w:tcBorders>
      </w:tcPr>
    </w:tblStylePr>
    <w:tblStylePr w:type="band1Horz">
      <w:tblPr/>
      <w:tcPr>
        <w:tcBorders>
          <w:top w:val="single" w:sz="4" w:space="0" w:color="0066A9" w:themeColor="accent1"/>
          <w:bottom w:val="single" w:sz="4" w:space="0" w:color="0066A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66A9" w:themeColor="accent1"/>
          <w:left w:val="nil"/>
        </w:tcBorders>
      </w:tcPr>
    </w:tblStylePr>
    <w:tblStylePr w:type="swCell">
      <w:tblPr/>
      <w:tcPr>
        <w:tcBorders>
          <w:top w:val="double" w:sz="4" w:space="0" w:color="0066A9" w:themeColor="accent1"/>
          <w:right w:val="nil"/>
        </w:tcBorders>
      </w:tcPr>
    </w:tblStylePr>
  </w:style>
  <w:style w:type="table" w:customStyle="1" w:styleId="Tabellenraster1">
    <w:name w:val="Tabellenraster1"/>
    <w:basedOn w:val="NormaleTabelle"/>
    <w:next w:val="Tabellenraster"/>
    <w:uiPriority w:val="59"/>
    <w:rsid w:val="005B61AD"/>
    <w:rPr>
      <w:rFonts w:ascii="Arial" w:eastAsia="Arial" w:hAnsi="Arial"/>
      <w:lang w:val="de-AT"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5B61AD"/>
    <w:rPr>
      <w:rFonts w:ascii="Times New Roman" w:eastAsia="Times New Roman" w:hAnsi="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chtaufgelsteErwhnung">
    <w:name w:val="Unresolved Mention"/>
    <w:basedOn w:val="Absatz-Standardschriftart"/>
    <w:uiPriority w:val="99"/>
    <w:semiHidden/>
    <w:unhideWhenUsed/>
    <w:rsid w:val="005B61AD"/>
    <w:rPr>
      <w:color w:val="605E5C"/>
      <w:shd w:val="clear" w:color="auto" w:fill="E1DFDD"/>
    </w:rPr>
  </w:style>
  <w:style w:type="paragraph" w:styleId="Verzeichnis1">
    <w:name w:val="toc 1"/>
    <w:basedOn w:val="Standard"/>
    <w:next w:val="Standard"/>
    <w:autoRedefine/>
    <w:uiPriority w:val="39"/>
    <w:unhideWhenUsed/>
    <w:rsid w:val="005B61AD"/>
    <w:pPr>
      <w:spacing w:after="100"/>
    </w:pPr>
  </w:style>
  <w:style w:type="paragraph" w:styleId="Verzeichnis2">
    <w:name w:val="toc 2"/>
    <w:basedOn w:val="Standard"/>
    <w:next w:val="Standard"/>
    <w:autoRedefine/>
    <w:uiPriority w:val="39"/>
    <w:unhideWhenUsed/>
    <w:rsid w:val="005B61AD"/>
    <w:pPr>
      <w:spacing w:after="100"/>
      <w:ind w:left="220"/>
    </w:pPr>
  </w:style>
  <w:style w:type="paragraph" w:styleId="Verzeichnis3">
    <w:name w:val="toc 3"/>
    <w:basedOn w:val="Standard"/>
    <w:next w:val="Standard"/>
    <w:autoRedefine/>
    <w:uiPriority w:val="39"/>
    <w:unhideWhenUsed/>
    <w:rsid w:val="005B61AD"/>
    <w:pPr>
      <w:spacing w:after="100"/>
      <w:ind w:left="440"/>
    </w:pPr>
  </w:style>
  <w:style w:type="paragraph" w:styleId="Endnotentext">
    <w:name w:val="endnote text"/>
    <w:basedOn w:val="Standard"/>
    <w:link w:val="EndnotentextZchn"/>
    <w:uiPriority w:val="99"/>
    <w:semiHidden/>
    <w:unhideWhenUsed/>
    <w:rsid w:val="005B61AD"/>
    <w:pPr>
      <w:spacing w:after="0" w:line="240" w:lineRule="auto"/>
      <w:jc w:val="left"/>
    </w:pPr>
    <w:rPr>
      <w:sz w:val="18"/>
      <w:szCs w:val="20"/>
    </w:rPr>
  </w:style>
  <w:style w:type="character" w:customStyle="1" w:styleId="EndnotentextZchn">
    <w:name w:val="Endnotentext Zchn"/>
    <w:basedOn w:val="Absatz-Standardschriftart"/>
    <w:link w:val="Endnotentext"/>
    <w:uiPriority w:val="99"/>
    <w:semiHidden/>
    <w:rsid w:val="005B61AD"/>
    <w:rPr>
      <w:rFonts w:cs="Times New Roman"/>
      <w:sz w:val="18"/>
    </w:rPr>
  </w:style>
  <w:style w:type="character" w:styleId="Endnotenzeichen">
    <w:name w:val="endnote reference"/>
    <w:basedOn w:val="Absatz-Standardschriftart"/>
    <w:uiPriority w:val="99"/>
    <w:semiHidden/>
    <w:unhideWhenUsed/>
    <w:rsid w:val="005B61AD"/>
    <w:rPr>
      <w:vertAlign w:val="superscript"/>
    </w:rPr>
  </w:style>
  <w:style w:type="character" w:styleId="BesuchterLink">
    <w:name w:val="FollowedHyperlink"/>
    <w:basedOn w:val="Absatz-Standardschriftart"/>
    <w:uiPriority w:val="99"/>
    <w:semiHidden/>
    <w:unhideWhenUsed/>
    <w:rsid w:val="00674FBF"/>
    <w:rPr>
      <w:color w:val="6C2383" w:themeColor="accent5"/>
      <w:u w:val="none"/>
    </w:rPr>
  </w:style>
  <w:style w:type="paragraph" w:customStyle="1" w:styleId="Randnummer">
    <w:name w:val="Randnummer"/>
    <w:basedOn w:val="Standard"/>
    <w:next w:val="Standard"/>
    <w:link w:val="RandnummerZchn"/>
    <w:uiPriority w:val="36"/>
    <w:rsid w:val="005B61AD"/>
    <w:pPr>
      <w:framePr w:w="284" w:h="794" w:hSpace="284" w:wrap="around" w:vAnchor="text" w:hAnchor="page" w:xAlign="outside" w:y="1"/>
      <w:numPr>
        <w:numId w:val="9"/>
      </w:numPr>
      <w:spacing w:after="0" w:line="280" w:lineRule="atLeast"/>
      <w:jc w:val="center"/>
    </w:pPr>
    <w:rPr>
      <w:color w:val="808080" w:themeColor="background1" w:themeShade="80"/>
      <w:sz w:val="18"/>
    </w:rPr>
  </w:style>
  <w:style w:type="table" w:styleId="Gitternetztabelle4Akzent1">
    <w:name w:val="Grid Table 4 Accent 1"/>
    <w:basedOn w:val="NormaleTabelle"/>
    <w:uiPriority w:val="49"/>
    <w:rsid w:val="005B61AD"/>
    <w:pPr>
      <w:spacing w:after="0" w:line="240" w:lineRule="auto"/>
    </w:pPr>
    <w:tblPr>
      <w:tblStyleRowBandSize w:val="1"/>
      <w:tblStyleColBandSize w:val="1"/>
      <w:tblBorders>
        <w:top w:val="single" w:sz="4" w:space="0" w:color="32ADFF" w:themeColor="accent1" w:themeTint="99"/>
        <w:left w:val="single" w:sz="4" w:space="0" w:color="32ADFF" w:themeColor="accent1" w:themeTint="99"/>
        <w:bottom w:val="single" w:sz="4" w:space="0" w:color="32ADFF" w:themeColor="accent1" w:themeTint="99"/>
        <w:right w:val="single" w:sz="4" w:space="0" w:color="32ADFF" w:themeColor="accent1" w:themeTint="99"/>
        <w:insideH w:val="single" w:sz="4" w:space="0" w:color="32ADFF" w:themeColor="accent1" w:themeTint="99"/>
        <w:insideV w:val="single" w:sz="4" w:space="0" w:color="32ADFF" w:themeColor="accent1" w:themeTint="99"/>
      </w:tblBorders>
    </w:tblPr>
    <w:tblStylePr w:type="firstRow">
      <w:rPr>
        <w:b/>
        <w:bCs/>
        <w:color w:val="FFFFFF" w:themeColor="background1"/>
      </w:rPr>
      <w:tblPr/>
      <w:tcPr>
        <w:tcBorders>
          <w:top w:val="single" w:sz="4" w:space="0" w:color="0066A9" w:themeColor="accent1"/>
          <w:left w:val="single" w:sz="4" w:space="0" w:color="0066A9" w:themeColor="accent1"/>
          <w:bottom w:val="single" w:sz="4" w:space="0" w:color="0066A9" w:themeColor="accent1"/>
          <w:right w:val="single" w:sz="4" w:space="0" w:color="0066A9" w:themeColor="accent1"/>
          <w:insideH w:val="nil"/>
          <w:insideV w:val="nil"/>
        </w:tcBorders>
        <w:shd w:val="clear" w:color="auto" w:fill="0066A9" w:themeFill="accent1"/>
      </w:tcPr>
    </w:tblStylePr>
    <w:tblStylePr w:type="lastRow">
      <w:rPr>
        <w:b/>
        <w:bCs/>
      </w:rPr>
      <w:tblPr/>
      <w:tcPr>
        <w:tcBorders>
          <w:top w:val="double" w:sz="4" w:space="0" w:color="0066A9" w:themeColor="accent1"/>
        </w:tcBorders>
      </w:tcPr>
    </w:tblStylePr>
    <w:tblStylePr w:type="firstCol">
      <w:rPr>
        <w:b/>
        <w:bCs/>
      </w:rPr>
    </w:tblStylePr>
    <w:tblStylePr w:type="lastCol">
      <w:rPr>
        <w:b/>
        <w:bCs/>
      </w:rPr>
    </w:tblStylePr>
    <w:tblStylePr w:type="band1Vert">
      <w:tblPr/>
      <w:tcPr>
        <w:shd w:val="clear" w:color="auto" w:fill="BAE3FF" w:themeFill="accent1" w:themeFillTint="33"/>
      </w:tcPr>
    </w:tblStylePr>
    <w:tblStylePr w:type="band1Horz">
      <w:tblPr/>
      <w:tcPr>
        <w:shd w:val="clear" w:color="auto" w:fill="BAE3FF" w:themeFill="accent1" w:themeFillTint="33"/>
      </w:tcPr>
    </w:tblStylePr>
  </w:style>
  <w:style w:type="character" w:customStyle="1" w:styleId="RandnummerZchn">
    <w:name w:val="Randnummer Zchn"/>
    <w:basedOn w:val="Absatz-Standardschriftart"/>
    <w:link w:val="Randnummer"/>
    <w:uiPriority w:val="36"/>
    <w:rsid w:val="005B61AD"/>
    <w:rPr>
      <w:rFonts w:cs="Times New Roman"/>
      <w:color w:val="808080" w:themeColor="background1" w:themeShade="80"/>
      <w:sz w:val="18"/>
      <w:szCs w:val="24"/>
    </w:rPr>
  </w:style>
  <w:style w:type="table" w:styleId="Listentabelle4Akzent1">
    <w:name w:val="List Table 4 Accent 1"/>
    <w:basedOn w:val="NormaleTabelle"/>
    <w:uiPriority w:val="49"/>
    <w:rsid w:val="005B61AD"/>
    <w:pPr>
      <w:spacing w:after="0" w:line="240" w:lineRule="auto"/>
    </w:pPr>
    <w:tblPr>
      <w:tblStyleRowBandSize w:val="1"/>
      <w:tblStyleColBandSize w:val="1"/>
      <w:tblBorders>
        <w:top w:val="single" w:sz="4" w:space="0" w:color="32ADFF" w:themeColor="accent1" w:themeTint="99"/>
        <w:left w:val="single" w:sz="4" w:space="0" w:color="32ADFF" w:themeColor="accent1" w:themeTint="99"/>
        <w:bottom w:val="single" w:sz="4" w:space="0" w:color="32ADFF" w:themeColor="accent1" w:themeTint="99"/>
        <w:right w:val="single" w:sz="4" w:space="0" w:color="32ADFF" w:themeColor="accent1" w:themeTint="99"/>
        <w:insideH w:val="single" w:sz="4" w:space="0" w:color="32ADFF" w:themeColor="accent1" w:themeTint="99"/>
      </w:tblBorders>
    </w:tblPr>
    <w:tblStylePr w:type="firstRow">
      <w:rPr>
        <w:b/>
        <w:bCs/>
        <w:color w:val="FFFFFF" w:themeColor="background1"/>
      </w:rPr>
      <w:tblPr/>
      <w:tcPr>
        <w:tcBorders>
          <w:top w:val="single" w:sz="4" w:space="0" w:color="0066A9" w:themeColor="accent1"/>
          <w:left w:val="single" w:sz="4" w:space="0" w:color="0066A9" w:themeColor="accent1"/>
          <w:bottom w:val="single" w:sz="4" w:space="0" w:color="0066A9" w:themeColor="accent1"/>
          <w:right w:val="single" w:sz="4" w:space="0" w:color="0066A9" w:themeColor="accent1"/>
          <w:insideH w:val="nil"/>
        </w:tcBorders>
        <w:shd w:val="clear" w:color="auto" w:fill="0066A9" w:themeFill="accent1"/>
      </w:tcPr>
    </w:tblStylePr>
    <w:tblStylePr w:type="lastRow">
      <w:rPr>
        <w:b/>
        <w:bCs/>
      </w:rPr>
      <w:tblPr/>
      <w:tcPr>
        <w:tcBorders>
          <w:top w:val="double" w:sz="4" w:space="0" w:color="32ADFF" w:themeColor="accent1" w:themeTint="99"/>
        </w:tcBorders>
      </w:tcPr>
    </w:tblStylePr>
    <w:tblStylePr w:type="firstCol">
      <w:rPr>
        <w:b/>
        <w:bCs/>
      </w:rPr>
    </w:tblStylePr>
    <w:tblStylePr w:type="lastCol">
      <w:rPr>
        <w:b/>
        <w:bCs/>
      </w:rPr>
    </w:tblStylePr>
    <w:tblStylePr w:type="band1Vert">
      <w:tblPr/>
      <w:tcPr>
        <w:shd w:val="clear" w:color="auto" w:fill="BAE3FF" w:themeFill="accent1" w:themeFillTint="33"/>
      </w:tcPr>
    </w:tblStylePr>
    <w:tblStylePr w:type="band1Horz">
      <w:tblPr/>
      <w:tcPr>
        <w:shd w:val="clear" w:color="auto" w:fill="BAE3FF" w:themeFill="accent1" w:themeFillTint="33"/>
      </w:tcPr>
    </w:tblStylePr>
  </w:style>
  <w:style w:type="character" w:customStyle="1" w:styleId="Beilage">
    <w:name w:val="Beilage"/>
    <w:basedOn w:val="Absatz-Standardschriftart"/>
    <w:uiPriority w:val="12"/>
    <w:qFormat/>
    <w:rsid w:val="005B61AD"/>
    <w:rPr>
      <w:noProof/>
      <w:u w:val="single"/>
      <w:lang w:val="de-AT"/>
    </w:rPr>
  </w:style>
  <w:style w:type="paragraph" w:customStyle="1" w:styleId="Liste-BeweisBeilagen">
    <w:name w:val="Liste-Beweis/Beilagen"/>
    <w:basedOn w:val="Standard"/>
    <w:next w:val="Standard"/>
    <w:uiPriority w:val="13"/>
    <w:qFormat/>
    <w:rsid w:val="005B61AD"/>
    <w:pPr>
      <w:tabs>
        <w:tab w:val="left" w:pos="1418"/>
      </w:tabs>
      <w:spacing w:after="200"/>
      <w:ind w:left="1418" w:hanging="1418"/>
      <w:contextualSpacing/>
      <w:jc w:val="left"/>
    </w:pPr>
    <w:rPr>
      <w:rFonts w:cstheme="minorBidi"/>
      <w:szCs w:val="22"/>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2718689">
      <w:bodyDiv w:val="1"/>
      <w:marLeft w:val="0"/>
      <w:marRight w:val="0"/>
      <w:marTop w:val="0"/>
      <w:marBottom w:val="0"/>
      <w:divBdr>
        <w:top w:val="none" w:sz="0" w:space="0" w:color="auto"/>
        <w:left w:val="none" w:sz="0" w:space="0" w:color="auto"/>
        <w:bottom w:val="none" w:sz="0" w:space="0" w:color="auto"/>
        <w:right w:val="none" w:sz="0" w:space="0" w:color="auto"/>
      </w:divBdr>
    </w:div>
    <w:div w:id="668555445">
      <w:bodyDiv w:val="1"/>
      <w:marLeft w:val="0"/>
      <w:marRight w:val="0"/>
      <w:marTop w:val="0"/>
      <w:marBottom w:val="0"/>
      <w:divBdr>
        <w:top w:val="none" w:sz="0" w:space="0" w:color="auto"/>
        <w:left w:val="none" w:sz="0" w:space="0" w:color="auto"/>
        <w:bottom w:val="none" w:sz="0" w:space="0" w:color="auto"/>
        <w:right w:val="none" w:sz="0" w:space="0" w:color="auto"/>
      </w:divBdr>
    </w:div>
    <w:div w:id="1129055811">
      <w:bodyDiv w:val="1"/>
      <w:marLeft w:val="0"/>
      <w:marRight w:val="0"/>
      <w:marTop w:val="0"/>
      <w:marBottom w:val="0"/>
      <w:divBdr>
        <w:top w:val="none" w:sz="0" w:space="0" w:color="auto"/>
        <w:left w:val="none" w:sz="0" w:space="0" w:color="auto"/>
        <w:bottom w:val="none" w:sz="0" w:space="0" w:color="auto"/>
        <w:right w:val="none" w:sz="0" w:space="0" w:color="auto"/>
      </w:divBdr>
    </w:div>
    <w:div w:id="1182933797">
      <w:bodyDiv w:val="1"/>
      <w:marLeft w:val="0"/>
      <w:marRight w:val="0"/>
      <w:marTop w:val="0"/>
      <w:marBottom w:val="0"/>
      <w:divBdr>
        <w:top w:val="none" w:sz="0" w:space="0" w:color="auto"/>
        <w:left w:val="none" w:sz="0" w:space="0" w:color="auto"/>
        <w:bottom w:val="none" w:sz="0" w:space="0" w:color="auto"/>
        <w:right w:val="none" w:sz="0" w:space="0" w:color="auto"/>
      </w:divBdr>
      <w:divsChild>
        <w:div w:id="1242445599">
          <w:marLeft w:val="0"/>
          <w:marRight w:val="0"/>
          <w:marTop w:val="0"/>
          <w:marBottom w:val="0"/>
          <w:divBdr>
            <w:top w:val="none" w:sz="0" w:space="0" w:color="auto"/>
            <w:left w:val="none" w:sz="0" w:space="0" w:color="auto"/>
            <w:bottom w:val="none" w:sz="0" w:space="0" w:color="auto"/>
            <w:right w:val="none" w:sz="0" w:space="0" w:color="auto"/>
          </w:divBdr>
        </w:div>
      </w:divsChild>
    </w:div>
    <w:div w:id="1223951851">
      <w:bodyDiv w:val="1"/>
      <w:marLeft w:val="0"/>
      <w:marRight w:val="0"/>
      <w:marTop w:val="0"/>
      <w:marBottom w:val="0"/>
      <w:divBdr>
        <w:top w:val="none" w:sz="0" w:space="0" w:color="auto"/>
        <w:left w:val="none" w:sz="0" w:space="0" w:color="auto"/>
        <w:bottom w:val="none" w:sz="0" w:space="0" w:color="auto"/>
        <w:right w:val="none" w:sz="0" w:space="0" w:color="auto"/>
      </w:divBdr>
    </w:div>
    <w:div w:id="1366515671">
      <w:bodyDiv w:val="1"/>
      <w:marLeft w:val="0"/>
      <w:marRight w:val="0"/>
      <w:marTop w:val="0"/>
      <w:marBottom w:val="0"/>
      <w:divBdr>
        <w:top w:val="none" w:sz="0" w:space="0" w:color="auto"/>
        <w:left w:val="none" w:sz="0" w:space="0" w:color="auto"/>
        <w:bottom w:val="none" w:sz="0" w:space="0" w:color="auto"/>
        <w:right w:val="none" w:sz="0" w:space="0" w:color="auto"/>
      </w:divBdr>
      <w:divsChild>
        <w:div w:id="568687473">
          <w:marLeft w:val="0"/>
          <w:marRight w:val="0"/>
          <w:marTop w:val="0"/>
          <w:marBottom w:val="0"/>
          <w:divBdr>
            <w:top w:val="none" w:sz="0" w:space="0" w:color="auto"/>
            <w:left w:val="none" w:sz="0" w:space="0" w:color="auto"/>
            <w:bottom w:val="none" w:sz="0" w:space="0" w:color="auto"/>
            <w:right w:val="none" w:sz="0" w:space="0" w:color="auto"/>
          </w:divBdr>
        </w:div>
      </w:divsChild>
    </w:div>
    <w:div w:id="1415660214">
      <w:bodyDiv w:val="1"/>
      <w:marLeft w:val="0"/>
      <w:marRight w:val="0"/>
      <w:marTop w:val="0"/>
      <w:marBottom w:val="0"/>
      <w:divBdr>
        <w:top w:val="none" w:sz="0" w:space="0" w:color="auto"/>
        <w:left w:val="none" w:sz="0" w:space="0" w:color="auto"/>
        <w:bottom w:val="none" w:sz="0" w:space="0" w:color="auto"/>
        <w:right w:val="none" w:sz="0" w:space="0" w:color="auto"/>
      </w:divBdr>
    </w:div>
    <w:div w:id="1474978947">
      <w:bodyDiv w:val="1"/>
      <w:marLeft w:val="0"/>
      <w:marRight w:val="0"/>
      <w:marTop w:val="0"/>
      <w:marBottom w:val="0"/>
      <w:divBdr>
        <w:top w:val="none" w:sz="0" w:space="0" w:color="auto"/>
        <w:left w:val="none" w:sz="0" w:space="0" w:color="auto"/>
        <w:bottom w:val="none" w:sz="0" w:space="0" w:color="auto"/>
        <w:right w:val="none" w:sz="0" w:space="0" w:color="auto"/>
      </w:divBdr>
    </w:div>
    <w:div w:id="1734545829">
      <w:bodyDiv w:val="1"/>
      <w:marLeft w:val="0"/>
      <w:marRight w:val="0"/>
      <w:marTop w:val="0"/>
      <w:marBottom w:val="0"/>
      <w:divBdr>
        <w:top w:val="none" w:sz="0" w:space="0" w:color="auto"/>
        <w:left w:val="none" w:sz="0" w:space="0" w:color="auto"/>
        <w:bottom w:val="none" w:sz="0" w:space="0" w:color="auto"/>
        <w:right w:val="none" w:sz="0" w:space="0" w:color="auto"/>
      </w:divBdr>
      <w:divsChild>
        <w:div w:id="463424501">
          <w:marLeft w:val="0"/>
          <w:marRight w:val="0"/>
          <w:marTop w:val="240"/>
          <w:marBottom w:val="240"/>
          <w:divBdr>
            <w:top w:val="none" w:sz="0" w:space="0" w:color="auto"/>
            <w:left w:val="none" w:sz="0" w:space="0" w:color="auto"/>
            <w:bottom w:val="none" w:sz="0" w:space="0" w:color="auto"/>
            <w:right w:val="none" w:sz="0" w:space="0" w:color="auto"/>
          </w:divBdr>
          <w:divsChild>
            <w:div w:id="372073493">
              <w:marLeft w:val="0"/>
              <w:marRight w:val="0"/>
              <w:marTop w:val="0"/>
              <w:marBottom w:val="0"/>
              <w:divBdr>
                <w:top w:val="none" w:sz="0" w:space="0" w:color="auto"/>
                <w:left w:val="none" w:sz="0" w:space="0" w:color="auto"/>
                <w:bottom w:val="none" w:sz="0" w:space="0" w:color="auto"/>
                <w:right w:val="none" w:sz="0" w:space="0" w:color="auto"/>
              </w:divBdr>
              <w:divsChild>
                <w:div w:id="544565843">
                  <w:marLeft w:val="0"/>
                  <w:marRight w:val="0"/>
                  <w:marTop w:val="0"/>
                  <w:marBottom w:val="0"/>
                  <w:divBdr>
                    <w:top w:val="single" w:sz="12" w:space="11" w:color="FAFAFA"/>
                    <w:left w:val="single" w:sz="12" w:space="11" w:color="FAFAFA"/>
                    <w:bottom w:val="single" w:sz="12" w:space="11" w:color="FAFAFA"/>
                    <w:right w:val="single" w:sz="12" w:space="11" w:color="FAFAFA"/>
                  </w:divBdr>
                  <w:divsChild>
                    <w:div w:id="1927491304">
                      <w:marLeft w:val="0"/>
                      <w:marRight w:val="0"/>
                      <w:marTop w:val="80"/>
                      <w:marBottom w:val="0"/>
                      <w:divBdr>
                        <w:top w:val="none" w:sz="0" w:space="0" w:color="auto"/>
                        <w:left w:val="none" w:sz="0" w:space="0" w:color="auto"/>
                        <w:bottom w:val="none" w:sz="0" w:space="0" w:color="auto"/>
                        <w:right w:val="none" w:sz="0" w:space="0" w:color="auto"/>
                      </w:divBdr>
                    </w:div>
                  </w:divsChild>
                </w:div>
              </w:divsChild>
            </w:div>
          </w:divsChild>
        </w:div>
        <w:div w:id="2133160297">
          <w:marLeft w:val="0"/>
          <w:marRight w:val="0"/>
          <w:marTop w:val="240"/>
          <w:marBottom w:val="240"/>
          <w:divBdr>
            <w:top w:val="none" w:sz="0" w:space="0" w:color="auto"/>
            <w:left w:val="none" w:sz="0" w:space="0" w:color="auto"/>
            <w:bottom w:val="none" w:sz="0" w:space="0" w:color="auto"/>
            <w:right w:val="none" w:sz="0" w:space="0" w:color="auto"/>
          </w:divBdr>
          <w:divsChild>
            <w:div w:id="502938037">
              <w:marLeft w:val="0"/>
              <w:marRight w:val="0"/>
              <w:marTop w:val="0"/>
              <w:marBottom w:val="0"/>
              <w:divBdr>
                <w:top w:val="none" w:sz="0" w:space="0" w:color="auto"/>
                <w:left w:val="none" w:sz="0" w:space="0" w:color="auto"/>
                <w:bottom w:val="none" w:sz="0" w:space="0" w:color="auto"/>
                <w:right w:val="none" w:sz="0" w:space="0" w:color="auto"/>
              </w:divBdr>
              <w:divsChild>
                <w:div w:id="1163660239">
                  <w:marLeft w:val="0"/>
                  <w:marRight w:val="0"/>
                  <w:marTop w:val="0"/>
                  <w:marBottom w:val="0"/>
                  <w:divBdr>
                    <w:top w:val="single" w:sz="12" w:space="11" w:color="FAFAFA"/>
                    <w:left w:val="single" w:sz="12" w:space="11" w:color="FAFAFA"/>
                    <w:bottom w:val="single" w:sz="12" w:space="11" w:color="FAFAFA"/>
                    <w:right w:val="single" w:sz="12" w:space="11" w:color="FAFAFA"/>
                  </w:divBdr>
                  <w:divsChild>
                    <w:div w:id="532494907">
                      <w:marLeft w:val="0"/>
                      <w:marRight w:val="0"/>
                      <w:marTop w:val="8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E-Control">
  <a:themeElements>
    <a:clrScheme name="E-Control Farben">
      <a:dk1>
        <a:srgbClr val="000000"/>
      </a:dk1>
      <a:lt1>
        <a:sysClr val="window" lastClr="FFFFFF"/>
      </a:lt1>
      <a:dk2>
        <a:srgbClr val="0066A9"/>
      </a:dk2>
      <a:lt2>
        <a:srgbClr val="FFFFFF"/>
      </a:lt2>
      <a:accent1>
        <a:srgbClr val="0066A9"/>
      </a:accent1>
      <a:accent2>
        <a:srgbClr val="3FA535"/>
      </a:accent2>
      <a:accent3>
        <a:srgbClr val="FABB00"/>
      </a:accent3>
      <a:accent4>
        <a:srgbClr val="CC071E"/>
      </a:accent4>
      <a:accent5>
        <a:srgbClr val="6C2383"/>
      </a:accent5>
      <a:accent6>
        <a:srgbClr val="808080"/>
      </a:accent6>
      <a:hlink>
        <a:srgbClr val="0066A9"/>
      </a:hlink>
      <a:folHlink>
        <a:srgbClr val="585858"/>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350B27C-1EF3-46AD-9327-BCF9DEB64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1656</Words>
  <Characters>10439</Characters>
  <Application>Microsoft Office Word</Application>
  <DocSecurity>4</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Winter Gabriel</dc:creator>
  <cp:keywords/>
  <cp:lastModifiedBy>zkoss</cp:lastModifiedBy>
  <cp:revision>2</cp:revision>
  <dcterms:created xsi:type="dcterms:W3CDTF">2024-07-15T12:36:00Z</dcterms:created>
  <dcterms:modified xsi:type="dcterms:W3CDTF">2024-07-15T12:36:00Z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A NOVA:Erledigung.Geschäftszahl">
    <vt:lpwstr>V CACM 06/23/1</vt:lpwstr>
  </property>
  <property fmtid="{D5CDD505-2E9C-101B-9397-08002B2CF9AE}" pid="3" name="ACTA NOVA:Erledigung.Empfängername">
    <vt:lpwstr>Austrian Power Grid AG</vt:lpwstr>
  </property>
  <property fmtid="{D5CDD505-2E9C-101B-9397-08002B2CF9AE}" pid="4" name="ACTA NOVA:Erledigung.Empfängeransprechpartner">
    <vt:lpwstr> </vt:lpwstr>
  </property>
  <property fmtid="{D5CDD505-2E9C-101B-9397-08002B2CF9AE}" pid="5" name="ACTA NOVA:Erledigung.Empfängerstrasse">
    <vt:lpwstr>Wagramerstraße</vt:lpwstr>
  </property>
  <property fmtid="{D5CDD505-2E9C-101B-9397-08002B2CF9AE}" pid="6" name="ACTA NOVA:Erledigung.Empfängerstrassenr">
    <vt:lpwstr>19, IZD Tower</vt:lpwstr>
  </property>
  <property fmtid="{D5CDD505-2E9C-101B-9397-08002B2CF9AE}" pid="7" name="ACTA NOVA:Erledigung.Empfängerort">
    <vt:lpwstr>Wien</vt:lpwstr>
  </property>
  <property fmtid="{D5CDD505-2E9C-101B-9397-08002B2CF9AE}" pid="8" name="ACTA NOVA:Erledigung.Empfängerplz">
    <vt:lpwstr>1220</vt:lpwstr>
  </property>
  <property fmtid="{D5CDD505-2E9C-101B-9397-08002B2CF9AE}" pid="9" name="ACTA NOVA:Erledigung.Empfängerland">
    <vt:lpwstr>ÖSTERREICH</vt:lpwstr>
  </property>
  <property fmtid="{D5CDD505-2E9C-101B-9397-08002B2CF9AE}" pid="10" name="ACTA NOVA:Erledigung.Genehmiger 1.Name mit Titel">
    <vt:lpwstr>Dr. Wolfgang Urbantschitsch, LL.M.</vt:lpwstr>
  </property>
  <property fmtid="{D5CDD505-2E9C-101B-9397-08002B2CF9AE}" pid="11" name="ACTA NOVA:Erledigung.Genehmiger 1.PositionDE">
    <vt:lpwstr>Vorstandsmitglied</vt:lpwstr>
  </property>
  <property fmtid="{D5CDD505-2E9C-101B-9397-08002B2CF9AE}" pid="12" name="ACTA NOVA:Erledigung.Genehmiger 2.Name mit Titel">
    <vt:lpwstr>Prof. DI Dr. Alfons Haber, MBA</vt:lpwstr>
  </property>
  <property fmtid="{D5CDD505-2E9C-101B-9397-08002B2CF9AE}" pid="13" name="ACTA NOVA:Erledigung.Genehmiger 2.PositionDE">
    <vt:lpwstr>Vorstandsmitglied</vt:lpwstr>
  </property>
  <property fmtid="{D5CDD505-2E9C-101B-9397-08002B2CF9AE}" pid="14" name="ACTA NOVA:Erledigung.Genehmigt am/um (lang)">
    <vt:lpwstr>10. Juli 2024</vt:lpwstr>
  </property>
</Properties>
</file>