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51997" w14:textId="77777777" w:rsidR="00C90754" w:rsidRDefault="00C90754" w:rsidP="005631B5">
      <w:pPr>
        <w:pStyle w:val="Textkrper"/>
        <w:jc w:val="center"/>
        <w:rPr>
          <w:bCs w:val="0"/>
          <w:snapToGrid w:val="0"/>
          <w:szCs w:val="20"/>
        </w:rPr>
      </w:pPr>
    </w:p>
    <w:p w14:paraId="7193B72E" w14:textId="77777777" w:rsidR="00C90754" w:rsidRDefault="00C90754" w:rsidP="005631B5">
      <w:pPr>
        <w:pStyle w:val="Textkrper"/>
        <w:jc w:val="center"/>
        <w:rPr>
          <w:bCs w:val="0"/>
          <w:snapToGrid w:val="0"/>
          <w:szCs w:val="20"/>
        </w:rPr>
      </w:pPr>
    </w:p>
    <w:p w14:paraId="2843722C" w14:textId="5BFC8B66" w:rsidR="00C90754" w:rsidRDefault="0047006A" w:rsidP="005631B5">
      <w:pPr>
        <w:jc w:val="center"/>
        <w:rPr>
          <w:lang w:val="de-DE"/>
        </w:rPr>
      </w:pPr>
      <w:r>
        <w:rPr>
          <w:noProof/>
        </w:rPr>
        <w:drawing>
          <wp:inline distT="0" distB="0" distL="0" distR="0" wp14:anchorId="449B4740" wp14:editId="12D92002">
            <wp:extent cx="2805209" cy="843148"/>
            <wp:effectExtent l="0" t="0" r="0" b="0"/>
            <wp:docPr id="1" name="Grafik 1" descr="C:\Users\mha\AppData\Local\Microsoft\Windows\INetCache\Content.Word\EC_Logo_pixe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AppData\Local\Microsoft\Windows\INetCache\Content.Word\EC_Logo_pixel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1741" cy="890196"/>
                    </a:xfrm>
                    <a:prstGeom prst="rect">
                      <a:avLst/>
                    </a:prstGeom>
                    <a:noFill/>
                    <a:ln>
                      <a:noFill/>
                    </a:ln>
                  </pic:spPr>
                </pic:pic>
              </a:graphicData>
            </a:graphic>
          </wp:inline>
        </w:drawing>
      </w:r>
    </w:p>
    <w:p w14:paraId="027CA771" w14:textId="1B68547E" w:rsidR="005631B5" w:rsidRDefault="005631B5" w:rsidP="005631B5">
      <w:pPr>
        <w:jc w:val="center"/>
        <w:rPr>
          <w:lang w:val="de-DE"/>
        </w:rPr>
      </w:pPr>
    </w:p>
    <w:p w14:paraId="5AAF4C92" w14:textId="6FADB3D4" w:rsidR="005631B5" w:rsidRDefault="005631B5" w:rsidP="005631B5">
      <w:pPr>
        <w:jc w:val="center"/>
        <w:rPr>
          <w:lang w:val="de-DE"/>
        </w:rPr>
      </w:pPr>
    </w:p>
    <w:p w14:paraId="3E7FC7F8" w14:textId="77777777" w:rsidR="00C90754" w:rsidRDefault="00C90754" w:rsidP="005631B5">
      <w:pPr>
        <w:jc w:val="center"/>
        <w:rPr>
          <w:lang w:val="de-DE"/>
        </w:rPr>
      </w:pPr>
    </w:p>
    <w:p w14:paraId="47274198" w14:textId="77777777" w:rsidR="00C90754" w:rsidRPr="00A35C38" w:rsidRDefault="00C90754" w:rsidP="005631B5">
      <w:pPr>
        <w:jc w:val="center"/>
        <w:rPr>
          <w:lang w:val="de-DE"/>
        </w:rPr>
      </w:pPr>
    </w:p>
    <w:p w14:paraId="480C4F84" w14:textId="77777777" w:rsidR="00C90754" w:rsidRDefault="00C90754" w:rsidP="005631B5">
      <w:pPr>
        <w:jc w:val="center"/>
        <w:rPr>
          <w:lang w:val="de-DE"/>
        </w:rPr>
      </w:pPr>
    </w:p>
    <w:p w14:paraId="1B5358FE" w14:textId="77777777" w:rsidR="00C90754" w:rsidRDefault="00C90754" w:rsidP="005631B5">
      <w:pPr>
        <w:jc w:val="center"/>
        <w:rPr>
          <w:lang w:val="de-DE"/>
        </w:rPr>
      </w:pPr>
    </w:p>
    <w:p w14:paraId="6789BA2C" w14:textId="77777777" w:rsidR="00C90754" w:rsidRDefault="0004431D" w:rsidP="005631B5">
      <w:pPr>
        <w:jc w:val="center"/>
        <w:rPr>
          <w:b/>
          <w:sz w:val="52"/>
        </w:rPr>
      </w:pPr>
      <w:r>
        <w:rPr>
          <w:b/>
          <w:sz w:val="52"/>
        </w:rPr>
        <w:t>Leitfaden für Markteintritt</w:t>
      </w:r>
      <w:r w:rsidR="003502B2">
        <w:rPr>
          <w:b/>
          <w:sz w:val="52"/>
        </w:rPr>
        <w:t xml:space="preserve"> a</w:t>
      </w:r>
      <w:r w:rsidR="00D6098F">
        <w:rPr>
          <w:b/>
          <w:sz w:val="52"/>
        </w:rPr>
        <w:t xml:space="preserve">ls </w:t>
      </w:r>
      <w:r>
        <w:rPr>
          <w:b/>
          <w:sz w:val="52"/>
        </w:rPr>
        <w:t>Stromhändler und Lieferant</w:t>
      </w:r>
    </w:p>
    <w:p w14:paraId="29B82924" w14:textId="77777777" w:rsidR="00A5291F" w:rsidRPr="00A5291F" w:rsidRDefault="0000091E" w:rsidP="005631B5">
      <w:pPr>
        <w:pStyle w:val="Untertitel"/>
        <w:spacing w:line="240" w:lineRule="auto"/>
      </w:pPr>
      <w:r w:rsidRPr="0000091E">
        <w:t>Das Informationspaket zum Start</w:t>
      </w:r>
    </w:p>
    <w:p w14:paraId="70895217" w14:textId="01297933" w:rsidR="00710EC3" w:rsidRDefault="000D4E64" w:rsidP="005631B5">
      <w:pPr>
        <w:pStyle w:val="Version"/>
        <w:jc w:val="center"/>
        <w:rPr>
          <w:rFonts w:ascii="Arial" w:hAnsi="Arial" w:cs="Arial"/>
          <w:sz w:val="32"/>
        </w:rPr>
      </w:pPr>
      <w:r>
        <w:rPr>
          <w:rFonts w:ascii="Arial" w:hAnsi="Arial" w:cs="Arial"/>
          <w:sz w:val="32"/>
        </w:rPr>
        <w:t>Feb</w:t>
      </w:r>
      <w:r w:rsidR="003E4F04">
        <w:rPr>
          <w:rFonts w:ascii="Arial" w:hAnsi="Arial" w:cs="Arial"/>
          <w:sz w:val="32"/>
        </w:rPr>
        <w:t xml:space="preserve"> 20</w:t>
      </w:r>
      <w:r w:rsidR="00B420F9">
        <w:rPr>
          <w:rFonts w:ascii="Arial" w:hAnsi="Arial" w:cs="Arial"/>
          <w:sz w:val="32"/>
        </w:rPr>
        <w:t>2</w:t>
      </w:r>
      <w:r w:rsidR="0086542A">
        <w:rPr>
          <w:rFonts w:ascii="Arial" w:hAnsi="Arial" w:cs="Arial"/>
          <w:sz w:val="32"/>
        </w:rPr>
        <w:t>1</w:t>
      </w:r>
    </w:p>
    <w:p w14:paraId="5F1F2BB3" w14:textId="77777777" w:rsidR="00710EC3" w:rsidRDefault="00710EC3">
      <w:pPr>
        <w:pStyle w:val="Version"/>
        <w:jc w:val="center"/>
        <w:rPr>
          <w:rFonts w:ascii="Arial" w:hAnsi="Arial" w:cs="Arial"/>
          <w:sz w:val="32"/>
        </w:rPr>
      </w:pPr>
    </w:p>
    <w:p w14:paraId="49DC48DE" w14:textId="17777FC3" w:rsidR="00710EC3" w:rsidRDefault="00710EC3">
      <w:pPr>
        <w:pStyle w:val="Version"/>
        <w:jc w:val="center"/>
        <w:rPr>
          <w:rFonts w:ascii="Arial" w:hAnsi="Arial" w:cs="Arial"/>
          <w:sz w:val="32"/>
        </w:rPr>
      </w:pPr>
    </w:p>
    <w:p w14:paraId="5E6D0859" w14:textId="663406D2" w:rsidR="0047006A" w:rsidRDefault="0047006A">
      <w:pPr>
        <w:pStyle w:val="Version"/>
        <w:jc w:val="center"/>
        <w:rPr>
          <w:rFonts w:ascii="Arial" w:hAnsi="Arial" w:cs="Arial"/>
          <w:sz w:val="32"/>
        </w:rPr>
      </w:pPr>
    </w:p>
    <w:p w14:paraId="74F6975A" w14:textId="345A6B28" w:rsidR="0047006A" w:rsidRDefault="0047006A">
      <w:pPr>
        <w:pStyle w:val="Version"/>
        <w:jc w:val="center"/>
        <w:rPr>
          <w:rFonts w:ascii="Arial" w:hAnsi="Arial" w:cs="Arial"/>
          <w:sz w:val="32"/>
        </w:rPr>
      </w:pPr>
    </w:p>
    <w:p w14:paraId="0BCD9A9A" w14:textId="77777777" w:rsidR="0047006A" w:rsidRDefault="0047006A">
      <w:pPr>
        <w:pStyle w:val="Version"/>
        <w:jc w:val="center"/>
        <w:rPr>
          <w:rFonts w:ascii="Arial" w:hAnsi="Arial" w:cs="Arial"/>
          <w:sz w:val="32"/>
        </w:rPr>
      </w:pPr>
    </w:p>
    <w:p w14:paraId="22E45A7F" w14:textId="77777777" w:rsidR="00710EC3" w:rsidRDefault="00710EC3">
      <w:pPr>
        <w:pStyle w:val="Version"/>
        <w:jc w:val="center"/>
        <w:rPr>
          <w:rFonts w:ascii="Arial" w:hAnsi="Arial" w:cs="Arial"/>
          <w:sz w:val="32"/>
        </w:rPr>
      </w:pPr>
    </w:p>
    <w:p w14:paraId="2D70788E" w14:textId="77777777" w:rsidR="003E624B" w:rsidRPr="003E624B" w:rsidRDefault="00453FB2" w:rsidP="003E624B">
      <w:pPr>
        <w:pStyle w:val="Version"/>
        <w:rPr>
          <w:rFonts w:ascii="Arial" w:hAnsi="Arial" w:cs="Arial"/>
          <w:sz w:val="20"/>
        </w:rPr>
      </w:pPr>
      <w:r w:rsidRPr="003E624B">
        <w:rPr>
          <w:rFonts w:ascii="Arial" w:hAnsi="Arial" w:cs="Arial"/>
          <w:sz w:val="20"/>
        </w:rPr>
        <w:t>[Disclaimer: Dieses Dokument wurde mit größter Sorgfa</w:t>
      </w:r>
      <w:r>
        <w:rPr>
          <w:rFonts w:ascii="Arial" w:hAnsi="Arial" w:cs="Arial"/>
          <w:sz w:val="20"/>
        </w:rPr>
        <w:t xml:space="preserve">lt erstellt. </w:t>
      </w:r>
      <w:r w:rsidRPr="003E624B">
        <w:rPr>
          <w:rFonts w:ascii="Arial" w:hAnsi="Arial" w:cs="Arial"/>
          <w:sz w:val="20"/>
        </w:rPr>
        <w:t>E-Control übernimmt keine Haftung oder Garantie für Richtigkeit, Vollständigkeit und Aktualität der Inhalte der Texte und Links zu externen Webseiten</w:t>
      </w:r>
      <w:r>
        <w:rPr>
          <w:rFonts w:ascii="Arial" w:hAnsi="Arial" w:cs="Arial"/>
          <w:sz w:val="20"/>
        </w:rPr>
        <w:t>. Die</w:t>
      </w:r>
      <w:r w:rsidRPr="003E624B">
        <w:rPr>
          <w:rFonts w:ascii="Arial" w:hAnsi="Arial" w:cs="Arial"/>
          <w:sz w:val="20"/>
        </w:rPr>
        <w:t xml:space="preserve"> </w:t>
      </w:r>
      <w:r>
        <w:rPr>
          <w:rFonts w:ascii="Arial" w:hAnsi="Arial" w:cs="Arial"/>
          <w:sz w:val="20"/>
        </w:rPr>
        <w:t xml:space="preserve">Textinhalte – inklusiver Auszüge und </w:t>
      </w:r>
      <w:r w:rsidRPr="003E624B">
        <w:rPr>
          <w:rFonts w:ascii="Arial" w:hAnsi="Arial" w:cs="Arial"/>
          <w:sz w:val="20"/>
        </w:rPr>
        <w:t>Links zu einer Vielzahl von Rechtstexten</w:t>
      </w:r>
      <w:r>
        <w:rPr>
          <w:rFonts w:ascii="Arial" w:hAnsi="Arial" w:cs="Arial"/>
          <w:sz w:val="20"/>
        </w:rPr>
        <w:t xml:space="preserve"> sowie</w:t>
      </w:r>
      <w:r w:rsidRPr="003E624B">
        <w:rPr>
          <w:rFonts w:ascii="Arial" w:hAnsi="Arial" w:cs="Arial"/>
          <w:sz w:val="20"/>
        </w:rPr>
        <w:t xml:space="preserve"> </w:t>
      </w:r>
      <w:r>
        <w:rPr>
          <w:rFonts w:ascii="Arial" w:hAnsi="Arial" w:cs="Arial"/>
          <w:sz w:val="20"/>
        </w:rPr>
        <w:t xml:space="preserve">zu anderen externen </w:t>
      </w:r>
      <w:r w:rsidRPr="003E624B">
        <w:rPr>
          <w:rFonts w:ascii="Arial" w:hAnsi="Arial" w:cs="Arial"/>
          <w:sz w:val="20"/>
        </w:rPr>
        <w:t>Webseiten</w:t>
      </w:r>
      <w:r>
        <w:rPr>
          <w:rFonts w:ascii="Arial" w:hAnsi="Arial" w:cs="Arial"/>
          <w:sz w:val="20"/>
        </w:rPr>
        <w:t xml:space="preserve"> – wurden zur </w:t>
      </w:r>
      <w:r w:rsidRPr="003E624B">
        <w:rPr>
          <w:rFonts w:ascii="Arial" w:hAnsi="Arial" w:cs="Arial"/>
          <w:sz w:val="20"/>
        </w:rPr>
        <w:t>zweckdienliche</w:t>
      </w:r>
      <w:r>
        <w:rPr>
          <w:rFonts w:ascii="Arial" w:hAnsi="Arial" w:cs="Arial"/>
          <w:sz w:val="20"/>
        </w:rPr>
        <w:t>n</w:t>
      </w:r>
      <w:r w:rsidRPr="003E624B">
        <w:rPr>
          <w:rFonts w:ascii="Arial" w:hAnsi="Arial" w:cs="Arial"/>
          <w:sz w:val="20"/>
        </w:rPr>
        <w:t xml:space="preserve"> </w:t>
      </w:r>
      <w:r>
        <w:rPr>
          <w:rFonts w:ascii="Arial" w:hAnsi="Arial" w:cs="Arial"/>
          <w:sz w:val="20"/>
        </w:rPr>
        <w:t>Nutzung der</w:t>
      </w:r>
      <w:r w:rsidRPr="003E624B">
        <w:rPr>
          <w:rFonts w:ascii="Arial" w:hAnsi="Arial" w:cs="Arial"/>
          <w:sz w:val="20"/>
        </w:rPr>
        <w:t xml:space="preserve"> Leser erstellt und sind in</w:t>
      </w:r>
      <w:r w:rsidR="0091073E">
        <w:rPr>
          <w:rFonts w:ascii="Arial" w:hAnsi="Arial" w:cs="Arial"/>
          <w:sz w:val="20"/>
        </w:rPr>
        <w:t xml:space="preserve"> keiner Weise rechtlich bindend.</w:t>
      </w:r>
      <w:r>
        <w:rPr>
          <w:rFonts w:ascii="Arial" w:hAnsi="Arial" w:cs="Arial"/>
          <w:sz w:val="20"/>
        </w:rPr>
        <w:t>]</w:t>
      </w:r>
    </w:p>
    <w:p w14:paraId="4ECD9ED3" w14:textId="41D21FC6" w:rsidR="00034396" w:rsidRPr="003E624B" w:rsidRDefault="0086542A" w:rsidP="007C6EFD">
      <w:pPr>
        <w:pStyle w:val="Version"/>
        <w:tabs>
          <w:tab w:val="left" w:pos="1728"/>
        </w:tabs>
        <w:ind w:firstLine="709"/>
        <w:rPr>
          <w:rFonts w:ascii="Arial" w:hAnsi="Arial" w:cs="Arial"/>
          <w:b/>
          <w:sz w:val="32"/>
        </w:rPr>
      </w:pPr>
      <w:r>
        <w:rPr>
          <w:rFonts w:ascii="Arial" w:hAnsi="Arial" w:cs="Arial"/>
          <w:b/>
          <w:sz w:val="32"/>
        </w:rPr>
        <w:tab/>
      </w:r>
    </w:p>
    <w:p w14:paraId="4152EA2E" w14:textId="1083FC04" w:rsidR="00C90754" w:rsidRPr="003E624B" w:rsidRDefault="003E4F04" w:rsidP="00136CBE">
      <w:pPr>
        <w:pStyle w:val="Version"/>
        <w:tabs>
          <w:tab w:val="left" w:pos="849"/>
        </w:tabs>
        <w:sectPr w:rsidR="00C90754" w:rsidRPr="003E624B" w:rsidSect="00870B63">
          <w:headerReference w:type="default" r:id="rId9"/>
          <w:footerReference w:type="default" r:id="rId10"/>
          <w:footerReference w:type="first" r:id="rId11"/>
          <w:type w:val="oddPage"/>
          <w:pgSz w:w="11906" w:h="16838" w:code="9"/>
          <w:pgMar w:top="1418" w:right="926" w:bottom="1134" w:left="1418" w:header="709" w:footer="709" w:gutter="0"/>
          <w:cols w:space="708"/>
          <w:docGrid w:linePitch="360"/>
        </w:sectPr>
      </w:pPr>
      <w:r>
        <w:lastRenderedPageBreak/>
        <w:tab/>
      </w:r>
    </w:p>
    <w:p w14:paraId="24EEC546" w14:textId="77777777" w:rsidR="00013504" w:rsidRPr="003E624B" w:rsidRDefault="00013504" w:rsidP="00013504">
      <w:pPr>
        <w:pStyle w:val="Version"/>
        <w:rPr>
          <w:sz w:val="28"/>
          <w:szCs w:val="28"/>
        </w:rPr>
      </w:pPr>
    </w:p>
    <w:p w14:paraId="7712CABE" w14:textId="77777777" w:rsidR="00C90754" w:rsidRPr="00710EC3" w:rsidRDefault="00C90754">
      <w:pPr>
        <w:pStyle w:val="Titel"/>
        <w:rPr>
          <w:smallCaps/>
          <w:spacing w:val="20"/>
          <w:sz w:val="28"/>
          <w:lang w:val="en-US"/>
        </w:rPr>
      </w:pPr>
      <w:proofErr w:type="spellStart"/>
      <w:r w:rsidRPr="00710EC3">
        <w:rPr>
          <w:smallCaps/>
          <w:spacing w:val="20"/>
          <w:sz w:val="28"/>
          <w:lang w:val="en-US"/>
        </w:rPr>
        <w:t>Inhalt</w:t>
      </w:r>
      <w:proofErr w:type="spellEnd"/>
    </w:p>
    <w:p w14:paraId="26F8E3B2" w14:textId="77777777" w:rsidR="00C90754" w:rsidRPr="00710EC3" w:rsidRDefault="00C90754">
      <w:pPr>
        <w:rPr>
          <w:lang w:val="en-US"/>
        </w:rPr>
      </w:pPr>
    </w:p>
    <w:p w14:paraId="6668FD7C" w14:textId="787C086E" w:rsidR="00C56979" w:rsidRDefault="00C63271">
      <w:pPr>
        <w:pStyle w:val="Verzeichnis1"/>
        <w:rPr>
          <w:rFonts w:asciiTheme="minorHAnsi" w:eastAsiaTheme="minorEastAsia" w:hAnsiTheme="minorHAnsi" w:cstheme="minorBidi"/>
          <w:b w:val="0"/>
          <w:bCs w:val="0"/>
          <w:szCs w:val="22"/>
          <w:lang w:val="de-DE"/>
        </w:rPr>
      </w:pPr>
      <w:r>
        <w:fldChar w:fldCharType="begin"/>
      </w:r>
      <w:r w:rsidR="00C90754">
        <w:instrText xml:space="preserve"> TOC \o "1-3" \h \z </w:instrText>
      </w:r>
      <w:r>
        <w:fldChar w:fldCharType="separate"/>
      </w:r>
      <w:hyperlink w:anchor="_Toc31376441" w:history="1">
        <w:r w:rsidR="00C56979" w:rsidRPr="00437ED4">
          <w:rPr>
            <w:rStyle w:val="Hyperlink"/>
          </w:rPr>
          <w:t>Erledigungen VOR Geschäftstätigkeit</w:t>
        </w:r>
        <w:r w:rsidR="00C56979">
          <w:rPr>
            <w:webHidden/>
          </w:rPr>
          <w:tab/>
        </w:r>
        <w:r w:rsidR="00C56979">
          <w:rPr>
            <w:webHidden/>
          </w:rPr>
          <w:fldChar w:fldCharType="begin"/>
        </w:r>
        <w:r w:rsidR="00C56979">
          <w:rPr>
            <w:webHidden/>
          </w:rPr>
          <w:instrText xml:space="preserve"> PAGEREF _Toc31376441 \h </w:instrText>
        </w:r>
        <w:r w:rsidR="00C56979">
          <w:rPr>
            <w:webHidden/>
          </w:rPr>
        </w:r>
        <w:r w:rsidR="00C56979">
          <w:rPr>
            <w:webHidden/>
          </w:rPr>
          <w:fldChar w:fldCharType="separate"/>
        </w:r>
        <w:r w:rsidR="00C56979">
          <w:rPr>
            <w:webHidden/>
          </w:rPr>
          <w:t>4</w:t>
        </w:r>
        <w:r w:rsidR="00C56979">
          <w:rPr>
            <w:webHidden/>
          </w:rPr>
          <w:fldChar w:fldCharType="end"/>
        </w:r>
      </w:hyperlink>
    </w:p>
    <w:p w14:paraId="64D177F4" w14:textId="30EE90CB" w:rsidR="00C56979" w:rsidRDefault="00F26E1C">
      <w:pPr>
        <w:pStyle w:val="Verzeichnis2"/>
        <w:rPr>
          <w:rFonts w:asciiTheme="minorHAnsi" w:eastAsiaTheme="minorEastAsia" w:hAnsiTheme="minorHAnsi" w:cstheme="minorBidi"/>
          <w:bCs w:val="0"/>
          <w:sz w:val="22"/>
          <w:lang w:val="de-DE"/>
        </w:rPr>
      </w:pPr>
      <w:hyperlink w:anchor="_Toc31376442" w:history="1">
        <w:r w:rsidR="00C56979" w:rsidRPr="00437ED4">
          <w:rPr>
            <w:rStyle w:val="Hyperlink"/>
          </w:rPr>
          <w:t>A)</w:t>
        </w:r>
        <w:r w:rsidR="00C56979">
          <w:rPr>
            <w:rFonts w:asciiTheme="minorHAnsi" w:eastAsiaTheme="minorEastAsia" w:hAnsiTheme="minorHAnsi" w:cstheme="minorBidi"/>
            <w:bCs w:val="0"/>
            <w:sz w:val="22"/>
            <w:lang w:val="de-DE"/>
          </w:rPr>
          <w:tab/>
        </w:r>
        <w:r w:rsidR="00C56979" w:rsidRPr="00437ED4">
          <w:rPr>
            <w:rStyle w:val="Hyperlink"/>
          </w:rPr>
          <w:t>Eintritt in das Bilanzgruppensystem</w:t>
        </w:r>
        <w:r w:rsidR="00C56979">
          <w:rPr>
            <w:webHidden/>
          </w:rPr>
          <w:tab/>
        </w:r>
        <w:r w:rsidR="00C56979">
          <w:rPr>
            <w:webHidden/>
          </w:rPr>
          <w:fldChar w:fldCharType="begin"/>
        </w:r>
        <w:r w:rsidR="00C56979">
          <w:rPr>
            <w:webHidden/>
          </w:rPr>
          <w:instrText xml:space="preserve"> PAGEREF _Toc31376442 \h </w:instrText>
        </w:r>
        <w:r w:rsidR="00C56979">
          <w:rPr>
            <w:webHidden/>
          </w:rPr>
        </w:r>
        <w:r w:rsidR="00C56979">
          <w:rPr>
            <w:webHidden/>
          </w:rPr>
          <w:fldChar w:fldCharType="separate"/>
        </w:r>
        <w:r w:rsidR="00C56979">
          <w:rPr>
            <w:webHidden/>
          </w:rPr>
          <w:t>4</w:t>
        </w:r>
        <w:r w:rsidR="00C56979">
          <w:rPr>
            <w:webHidden/>
          </w:rPr>
          <w:fldChar w:fldCharType="end"/>
        </w:r>
      </w:hyperlink>
    </w:p>
    <w:p w14:paraId="52F3B9C9" w14:textId="4A04A6C4" w:rsidR="00C56979" w:rsidRDefault="00F26E1C">
      <w:pPr>
        <w:pStyle w:val="Verzeichnis2"/>
        <w:rPr>
          <w:rFonts w:asciiTheme="minorHAnsi" w:eastAsiaTheme="minorEastAsia" w:hAnsiTheme="minorHAnsi" w:cstheme="minorBidi"/>
          <w:bCs w:val="0"/>
          <w:sz w:val="22"/>
          <w:lang w:val="de-DE"/>
        </w:rPr>
      </w:pPr>
      <w:hyperlink w:anchor="_Toc31376443" w:history="1">
        <w:r w:rsidR="00C56979" w:rsidRPr="00437ED4">
          <w:rPr>
            <w:rStyle w:val="Hyperlink"/>
          </w:rPr>
          <w:t>B)</w:t>
        </w:r>
        <w:r w:rsidR="00C56979">
          <w:rPr>
            <w:rFonts w:asciiTheme="minorHAnsi" w:eastAsiaTheme="minorEastAsia" w:hAnsiTheme="minorHAnsi" w:cstheme="minorBidi"/>
            <w:bCs w:val="0"/>
            <w:sz w:val="22"/>
            <w:lang w:val="de-DE"/>
          </w:rPr>
          <w:tab/>
        </w:r>
        <w:r w:rsidR="00C56979" w:rsidRPr="00437ED4">
          <w:rPr>
            <w:rStyle w:val="Hyperlink"/>
          </w:rPr>
          <w:t>Anzeige der Tätigkeit bei der jeweiligen Landesregierung</w:t>
        </w:r>
        <w:r w:rsidR="00C56979">
          <w:rPr>
            <w:webHidden/>
          </w:rPr>
          <w:tab/>
        </w:r>
        <w:r w:rsidR="00C56979">
          <w:rPr>
            <w:webHidden/>
          </w:rPr>
          <w:fldChar w:fldCharType="begin"/>
        </w:r>
        <w:r w:rsidR="00C56979">
          <w:rPr>
            <w:webHidden/>
          </w:rPr>
          <w:instrText xml:space="preserve"> PAGEREF _Toc31376443 \h </w:instrText>
        </w:r>
        <w:r w:rsidR="00C56979">
          <w:rPr>
            <w:webHidden/>
          </w:rPr>
        </w:r>
        <w:r w:rsidR="00C56979">
          <w:rPr>
            <w:webHidden/>
          </w:rPr>
          <w:fldChar w:fldCharType="separate"/>
        </w:r>
        <w:r w:rsidR="00C56979">
          <w:rPr>
            <w:webHidden/>
          </w:rPr>
          <w:t>10</w:t>
        </w:r>
        <w:r w:rsidR="00C56979">
          <w:rPr>
            <w:webHidden/>
          </w:rPr>
          <w:fldChar w:fldCharType="end"/>
        </w:r>
      </w:hyperlink>
    </w:p>
    <w:p w14:paraId="6B2B2E4E" w14:textId="1400EB7A" w:rsidR="00C56979" w:rsidRDefault="00F26E1C">
      <w:pPr>
        <w:pStyle w:val="Verzeichnis2"/>
        <w:rPr>
          <w:rFonts w:asciiTheme="minorHAnsi" w:eastAsiaTheme="minorEastAsia" w:hAnsiTheme="minorHAnsi" w:cstheme="minorBidi"/>
          <w:bCs w:val="0"/>
          <w:sz w:val="22"/>
          <w:lang w:val="de-DE"/>
        </w:rPr>
      </w:pPr>
      <w:hyperlink w:anchor="_Toc31376444" w:history="1">
        <w:r w:rsidR="00C56979" w:rsidRPr="00437ED4">
          <w:rPr>
            <w:rStyle w:val="Hyperlink"/>
          </w:rPr>
          <w:t>C)</w:t>
        </w:r>
        <w:r w:rsidR="00C56979">
          <w:rPr>
            <w:rFonts w:asciiTheme="minorHAnsi" w:eastAsiaTheme="minorEastAsia" w:hAnsiTheme="minorHAnsi" w:cstheme="minorBidi"/>
            <w:bCs w:val="0"/>
            <w:sz w:val="22"/>
            <w:lang w:val="de-DE"/>
          </w:rPr>
          <w:tab/>
        </w:r>
        <w:r w:rsidR="00C56979" w:rsidRPr="00437ED4">
          <w:rPr>
            <w:rStyle w:val="Hyperlink"/>
          </w:rPr>
          <w:t>Grenzüberschreitender Stromtransport (Import &amp; Export)</w:t>
        </w:r>
        <w:r w:rsidR="00C56979">
          <w:rPr>
            <w:webHidden/>
          </w:rPr>
          <w:tab/>
        </w:r>
        <w:r w:rsidR="00C56979">
          <w:rPr>
            <w:webHidden/>
          </w:rPr>
          <w:fldChar w:fldCharType="begin"/>
        </w:r>
        <w:r w:rsidR="00C56979">
          <w:rPr>
            <w:webHidden/>
          </w:rPr>
          <w:instrText xml:space="preserve"> PAGEREF _Toc31376444 \h </w:instrText>
        </w:r>
        <w:r w:rsidR="00C56979">
          <w:rPr>
            <w:webHidden/>
          </w:rPr>
        </w:r>
        <w:r w:rsidR="00C56979">
          <w:rPr>
            <w:webHidden/>
          </w:rPr>
          <w:fldChar w:fldCharType="separate"/>
        </w:r>
        <w:r w:rsidR="00C56979">
          <w:rPr>
            <w:webHidden/>
          </w:rPr>
          <w:t>11</w:t>
        </w:r>
        <w:r w:rsidR="00C56979">
          <w:rPr>
            <w:webHidden/>
          </w:rPr>
          <w:fldChar w:fldCharType="end"/>
        </w:r>
      </w:hyperlink>
    </w:p>
    <w:p w14:paraId="729C61D1" w14:textId="5D69A786" w:rsidR="00C56979" w:rsidRDefault="00F26E1C">
      <w:pPr>
        <w:pStyle w:val="Verzeichnis2"/>
        <w:rPr>
          <w:rFonts w:asciiTheme="minorHAnsi" w:eastAsiaTheme="minorEastAsia" w:hAnsiTheme="minorHAnsi" w:cstheme="minorBidi"/>
          <w:bCs w:val="0"/>
          <w:sz w:val="22"/>
          <w:lang w:val="de-DE"/>
        </w:rPr>
      </w:pPr>
      <w:hyperlink w:anchor="_Toc31376445" w:history="1">
        <w:r w:rsidR="00C56979" w:rsidRPr="00437ED4">
          <w:rPr>
            <w:rStyle w:val="Hyperlink"/>
          </w:rPr>
          <w:t>D)</w:t>
        </w:r>
        <w:r w:rsidR="00C56979">
          <w:rPr>
            <w:rFonts w:asciiTheme="minorHAnsi" w:eastAsiaTheme="minorEastAsia" w:hAnsiTheme="minorHAnsi" w:cstheme="minorBidi"/>
            <w:bCs w:val="0"/>
            <w:sz w:val="22"/>
            <w:lang w:val="de-DE"/>
          </w:rPr>
          <w:tab/>
        </w:r>
        <w:r w:rsidR="00C56979" w:rsidRPr="00437ED4">
          <w:rPr>
            <w:rStyle w:val="Hyperlink"/>
          </w:rPr>
          <w:t>Registrierung als Marktteilnehmer gemäß Art 9 REMIT</w:t>
        </w:r>
        <w:r w:rsidR="00C56979">
          <w:rPr>
            <w:webHidden/>
          </w:rPr>
          <w:tab/>
        </w:r>
        <w:r w:rsidR="00C56979">
          <w:rPr>
            <w:webHidden/>
          </w:rPr>
          <w:fldChar w:fldCharType="begin"/>
        </w:r>
        <w:r w:rsidR="00C56979">
          <w:rPr>
            <w:webHidden/>
          </w:rPr>
          <w:instrText xml:space="preserve"> PAGEREF _Toc31376445 \h </w:instrText>
        </w:r>
        <w:r w:rsidR="00C56979">
          <w:rPr>
            <w:webHidden/>
          </w:rPr>
        </w:r>
        <w:r w:rsidR="00C56979">
          <w:rPr>
            <w:webHidden/>
          </w:rPr>
          <w:fldChar w:fldCharType="separate"/>
        </w:r>
        <w:r w:rsidR="00C56979">
          <w:rPr>
            <w:webHidden/>
          </w:rPr>
          <w:t>13</w:t>
        </w:r>
        <w:r w:rsidR="00C56979">
          <w:rPr>
            <w:webHidden/>
          </w:rPr>
          <w:fldChar w:fldCharType="end"/>
        </w:r>
      </w:hyperlink>
    </w:p>
    <w:p w14:paraId="746175F3" w14:textId="2E549971" w:rsidR="00C56979" w:rsidRDefault="00F26E1C">
      <w:pPr>
        <w:pStyle w:val="Verzeichnis2"/>
        <w:rPr>
          <w:rFonts w:asciiTheme="minorHAnsi" w:eastAsiaTheme="minorEastAsia" w:hAnsiTheme="minorHAnsi" w:cstheme="minorBidi"/>
          <w:bCs w:val="0"/>
          <w:sz w:val="22"/>
          <w:lang w:val="de-DE"/>
        </w:rPr>
      </w:pPr>
      <w:hyperlink w:anchor="_Toc31376446" w:history="1">
        <w:r w:rsidR="00C56979" w:rsidRPr="00437ED4">
          <w:rPr>
            <w:rStyle w:val="Hyperlink"/>
          </w:rPr>
          <w:t>E)</w:t>
        </w:r>
        <w:r w:rsidR="00C56979">
          <w:rPr>
            <w:rFonts w:asciiTheme="minorHAnsi" w:eastAsiaTheme="minorEastAsia" w:hAnsiTheme="minorHAnsi" w:cstheme="minorBidi"/>
            <w:bCs w:val="0"/>
            <w:sz w:val="22"/>
            <w:lang w:val="de-DE"/>
          </w:rPr>
          <w:tab/>
        </w:r>
        <w:r w:rsidR="00C56979" w:rsidRPr="00437ED4">
          <w:rPr>
            <w:rStyle w:val="Hyperlink"/>
          </w:rPr>
          <w:t>Allgemeine Lieferbedingungen</w:t>
        </w:r>
        <w:r w:rsidR="00C56979">
          <w:rPr>
            <w:webHidden/>
          </w:rPr>
          <w:tab/>
        </w:r>
        <w:r w:rsidR="00C56979">
          <w:rPr>
            <w:webHidden/>
          </w:rPr>
          <w:fldChar w:fldCharType="begin"/>
        </w:r>
        <w:r w:rsidR="00C56979">
          <w:rPr>
            <w:webHidden/>
          </w:rPr>
          <w:instrText xml:space="preserve"> PAGEREF _Toc31376446 \h </w:instrText>
        </w:r>
        <w:r w:rsidR="00C56979">
          <w:rPr>
            <w:webHidden/>
          </w:rPr>
        </w:r>
        <w:r w:rsidR="00C56979">
          <w:rPr>
            <w:webHidden/>
          </w:rPr>
          <w:fldChar w:fldCharType="separate"/>
        </w:r>
        <w:r w:rsidR="00C56979">
          <w:rPr>
            <w:webHidden/>
          </w:rPr>
          <w:t>14</w:t>
        </w:r>
        <w:r w:rsidR="00C56979">
          <w:rPr>
            <w:webHidden/>
          </w:rPr>
          <w:fldChar w:fldCharType="end"/>
        </w:r>
      </w:hyperlink>
    </w:p>
    <w:bookmarkStart w:id="0" w:name="_Hlk63230313"/>
    <w:p w14:paraId="59F6E230" w14:textId="258DF340" w:rsidR="00C56979" w:rsidRDefault="00323A93">
      <w:pPr>
        <w:pStyle w:val="Verzeichnis2"/>
        <w:rPr>
          <w:rFonts w:asciiTheme="minorHAnsi" w:eastAsiaTheme="minorEastAsia" w:hAnsiTheme="minorHAnsi" w:cstheme="minorBidi"/>
          <w:bCs w:val="0"/>
          <w:sz w:val="22"/>
          <w:lang w:val="de-DE"/>
        </w:rPr>
      </w:pPr>
      <w:r>
        <w:fldChar w:fldCharType="begin"/>
      </w:r>
      <w:r>
        <w:instrText xml:space="preserve"> HYPERLINK \l "_Toc31376447" </w:instrText>
      </w:r>
      <w:r>
        <w:fldChar w:fldCharType="separate"/>
      </w:r>
      <w:r w:rsidR="00C56979" w:rsidRPr="00437ED4">
        <w:rPr>
          <w:rStyle w:val="Hyperlink"/>
        </w:rPr>
        <w:t>F)</w:t>
      </w:r>
      <w:r w:rsidR="00C56979">
        <w:rPr>
          <w:rFonts w:asciiTheme="minorHAnsi" w:eastAsiaTheme="minorEastAsia" w:hAnsiTheme="minorHAnsi" w:cstheme="minorBidi"/>
          <w:bCs w:val="0"/>
          <w:sz w:val="22"/>
          <w:lang w:val="de-DE"/>
        </w:rPr>
        <w:tab/>
      </w:r>
      <w:r w:rsidR="00C56979" w:rsidRPr="00437ED4">
        <w:rPr>
          <w:rStyle w:val="Hyperlink"/>
        </w:rPr>
        <w:t>Registrierung bei der Wechselplattform (ENERGYlink)</w:t>
      </w:r>
      <w:r w:rsidR="00C56979">
        <w:rPr>
          <w:webHidden/>
        </w:rPr>
        <w:tab/>
      </w:r>
      <w:r w:rsidR="00C56979">
        <w:rPr>
          <w:webHidden/>
        </w:rPr>
        <w:fldChar w:fldCharType="begin"/>
      </w:r>
      <w:r w:rsidR="00C56979">
        <w:rPr>
          <w:webHidden/>
        </w:rPr>
        <w:instrText xml:space="preserve"> PAGEREF _Toc31376447 \h </w:instrText>
      </w:r>
      <w:r w:rsidR="00C56979">
        <w:rPr>
          <w:webHidden/>
        </w:rPr>
      </w:r>
      <w:r w:rsidR="00C56979">
        <w:rPr>
          <w:webHidden/>
        </w:rPr>
        <w:fldChar w:fldCharType="separate"/>
      </w:r>
      <w:r w:rsidR="00C56979">
        <w:rPr>
          <w:webHidden/>
        </w:rPr>
        <w:t>17</w:t>
      </w:r>
      <w:r w:rsidR="00C56979">
        <w:rPr>
          <w:webHidden/>
        </w:rPr>
        <w:fldChar w:fldCharType="end"/>
      </w:r>
      <w:r>
        <w:fldChar w:fldCharType="end"/>
      </w:r>
    </w:p>
    <w:p w14:paraId="6F502F77" w14:textId="51628C37" w:rsidR="00C56979" w:rsidRDefault="00F26E1C">
      <w:pPr>
        <w:pStyle w:val="Verzeichnis2"/>
        <w:rPr>
          <w:rFonts w:asciiTheme="minorHAnsi" w:eastAsiaTheme="minorEastAsia" w:hAnsiTheme="minorHAnsi" w:cstheme="minorBidi"/>
          <w:bCs w:val="0"/>
          <w:sz w:val="22"/>
          <w:lang w:val="de-DE"/>
        </w:rPr>
      </w:pPr>
      <w:hyperlink w:anchor="_Toc31376448" w:history="1">
        <w:r w:rsidR="00C56979" w:rsidRPr="00437ED4">
          <w:rPr>
            <w:rStyle w:val="Hyperlink"/>
          </w:rPr>
          <w:t>G)</w:t>
        </w:r>
        <w:r w:rsidR="00C56979">
          <w:rPr>
            <w:rFonts w:asciiTheme="minorHAnsi" w:eastAsiaTheme="minorEastAsia" w:hAnsiTheme="minorHAnsi" w:cstheme="minorBidi"/>
            <w:bCs w:val="0"/>
            <w:sz w:val="22"/>
            <w:lang w:val="de-DE"/>
          </w:rPr>
          <w:tab/>
        </w:r>
        <w:r w:rsidR="00C56979" w:rsidRPr="00437ED4">
          <w:rPr>
            <w:rStyle w:val="Hyperlink"/>
          </w:rPr>
          <w:t>Stromnachweisdatenbank – Registrierung</w:t>
        </w:r>
        <w:r w:rsidR="00C56979">
          <w:rPr>
            <w:webHidden/>
          </w:rPr>
          <w:tab/>
        </w:r>
        <w:r w:rsidR="00C56979">
          <w:rPr>
            <w:webHidden/>
          </w:rPr>
          <w:fldChar w:fldCharType="begin"/>
        </w:r>
        <w:r w:rsidR="00C56979">
          <w:rPr>
            <w:webHidden/>
          </w:rPr>
          <w:instrText xml:space="preserve"> PAGEREF _Toc31376448 \h </w:instrText>
        </w:r>
        <w:r w:rsidR="00C56979">
          <w:rPr>
            <w:webHidden/>
          </w:rPr>
        </w:r>
        <w:r w:rsidR="00C56979">
          <w:rPr>
            <w:webHidden/>
          </w:rPr>
          <w:fldChar w:fldCharType="separate"/>
        </w:r>
        <w:r w:rsidR="00C56979">
          <w:rPr>
            <w:webHidden/>
          </w:rPr>
          <w:t>19</w:t>
        </w:r>
        <w:r w:rsidR="00C56979">
          <w:rPr>
            <w:webHidden/>
          </w:rPr>
          <w:fldChar w:fldCharType="end"/>
        </w:r>
      </w:hyperlink>
    </w:p>
    <w:p w14:paraId="7239D4E0" w14:textId="46620405" w:rsidR="00C56979" w:rsidRDefault="00F26E1C">
      <w:pPr>
        <w:pStyle w:val="Verzeichnis2"/>
        <w:rPr>
          <w:rFonts w:asciiTheme="minorHAnsi" w:eastAsiaTheme="minorEastAsia" w:hAnsiTheme="minorHAnsi" w:cstheme="minorBidi"/>
          <w:bCs w:val="0"/>
          <w:sz w:val="22"/>
          <w:lang w:val="de-DE"/>
        </w:rPr>
      </w:pPr>
      <w:hyperlink w:anchor="_Toc31376449" w:history="1">
        <w:r w:rsidR="00C56979" w:rsidRPr="00437ED4">
          <w:rPr>
            <w:rStyle w:val="Hyperlink"/>
          </w:rPr>
          <w:t>H)</w:t>
        </w:r>
        <w:r w:rsidR="00C56979">
          <w:rPr>
            <w:rFonts w:asciiTheme="minorHAnsi" w:eastAsiaTheme="minorEastAsia" w:hAnsiTheme="minorHAnsi" w:cstheme="minorBidi"/>
            <w:bCs w:val="0"/>
            <w:sz w:val="22"/>
            <w:lang w:val="de-DE"/>
          </w:rPr>
          <w:tab/>
        </w:r>
        <w:r w:rsidR="00C56979" w:rsidRPr="00437ED4">
          <w:rPr>
            <w:rStyle w:val="Hyperlink"/>
          </w:rPr>
          <w:t>Tarifkalkulatoren – Registrierung</w:t>
        </w:r>
        <w:r w:rsidR="00C56979">
          <w:rPr>
            <w:webHidden/>
          </w:rPr>
          <w:tab/>
        </w:r>
        <w:r w:rsidR="00C56979">
          <w:rPr>
            <w:webHidden/>
          </w:rPr>
          <w:fldChar w:fldCharType="begin"/>
        </w:r>
        <w:r w:rsidR="00C56979">
          <w:rPr>
            <w:webHidden/>
          </w:rPr>
          <w:instrText xml:space="preserve"> PAGEREF _Toc31376449 \h </w:instrText>
        </w:r>
        <w:r w:rsidR="00C56979">
          <w:rPr>
            <w:webHidden/>
          </w:rPr>
        </w:r>
        <w:r w:rsidR="00C56979">
          <w:rPr>
            <w:webHidden/>
          </w:rPr>
          <w:fldChar w:fldCharType="separate"/>
        </w:r>
        <w:r w:rsidR="00C56979">
          <w:rPr>
            <w:webHidden/>
          </w:rPr>
          <w:t>20</w:t>
        </w:r>
        <w:r w:rsidR="00C56979">
          <w:rPr>
            <w:webHidden/>
          </w:rPr>
          <w:fldChar w:fldCharType="end"/>
        </w:r>
      </w:hyperlink>
    </w:p>
    <w:p w14:paraId="2FA87DE7" w14:textId="4EA097B1" w:rsidR="00C56979" w:rsidRDefault="00F26E1C">
      <w:pPr>
        <w:pStyle w:val="Verzeichnis2"/>
        <w:rPr>
          <w:rFonts w:asciiTheme="minorHAnsi" w:eastAsiaTheme="minorEastAsia" w:hAnsiTheme="minorHAnsi" w:cstheme="minorBidi"/>
          <w:bCs w:val="0"/>
          <w:sz w:val="22"/>
          <w:lang w:val="de-DE"/>
        </w:rPr>
      </w:pPr>
      <w:hyperlink w:anchor="_Toc31376450" w:history="1">
        <w:r w:rsidR="00C56979" w:rsidRPr="00437ED4">
          <w:rPr>
            <w:rStyle w:val="Hyperlink"/>
          </w:rPr>
          <w:t>I)</w:t>
        </w:r>
        <w:r w:rsidR="00C56979">
          <w:rPr>
            <w:rFonts w:asciiTheme="minorHAnsi" w:eastAsiaTheme="minorEastAsia" w:hAnsiTheme="minorHAnsi" w:cstheme="minorBidi"/>
            <w:bCs w:val="0"/>
            <w:sz w:val="22"/>
            <w:lang w:val="de-DE"/>
          </w:rPr>
          <w:tab/>
        </w:r>
        <w:r w:rsidR="00C56979" w:rsidRPr="00437ED4">
          <w:rPr>
            <w:rStyle w:val="Hyperlink"/>
          </w:rPr>
          <w:t>Technische Dokumentationen und Datenaustauschprozesse auf  www.ebutilities.at</w:t>
        </w:r>
        <w:r w:rsidR="00C56979">
          <w:rPr>
            <w:webHidden/>
          </w:rPr>
          <w:tab/>
        </w:r>
        <w:r w:rsidR="00C56979">
          <w:rPr>
            <w:webHidden/>
          </w:rPr>
          <w:fldChar w:fldCharType="begin"/>
        </w:r>
        <w:r w:rsidR="00C56979">
          <w:rPr>
            <w:webHidden/>
          </w:rPr>
          <w:instrText xml:space="preserve"> PAGEREF _Toc31376450 \h </w:instrText>
        </w:r>
        <w:r w:rsidR="00C56979">
          <w:rPr>
            <w:webHidden/>
          </w:rPr>
        </w:r>
        <w:r w:rsidR="00C56979">
          <w:rPr>
            <w:webHidden/>
          </w:rPr>
          <w:fldChar w:fldCharType="separate"/>
        </w:r>
        <w:r w:rsidR="00C56979">
          <w:rPr>
            <w:webHidden/>
          </w:rPr>
          <w:t>22</w:t>
        </w:r>
        <w:r w:rsidR="00C56979">
          <w:rPr>
            <w:webHidden/>
          </w:rPr>
          <w:fldChar w:fldCharType="end"/>
        </w:r>
      </w:hyperlink>
    </w:p>
    <w:p w14:paraId="6DF2C960" w14:textId="3E316640" w:rsidR="00C56979" w:rsidRDefault="00F26E1C">
      <w:pPr>
        <w:pStyle w:val="Verzeichnis2"/>
        <w:rPr>
          <w:rFonts w:asciiTheme="minorHAnsi" w:eastAsiaTheme="minorEastAsia" w:hAnsiTheme="minorHAnsi" w:cstheme="minorBidi"/>
          <w:bCs w:val="0"/>
          <w:sz w:val="22"/>
          <w:lang w:val="de-DE"/>
        </w:rPr>
      </w:pPr>
      <w:hyperlink w:anchor="_Toc31376451" w:history="1">
        <w:r w:rsidR="00C56979" w:rsidRPr="00437ED4">
          <w:rPr>
            <w:rStyle w:val="Hyperlink"/>
          </w:rPr>
          <w:t>J)</w:t>
        </w:r>
        <w:r w:rsidR="00C56979">
          <w:rPr>
            <w:rFonts w:asciiTheme="minorHAnsi" w:eastAsiaTheme="minorEastAsia" w:hAnsiTheme="minorHAnsi" w:cstheme="minorBidi"/>
            <w:bCs w:val="0"/>
            <w:sz w:val="22"/>
            <w:lang w:val="de-DE"/>
          </w:rPr>
          <w:tab/>
        </w:r>
        <w:r w:rsidR="00C56979" w:rsidRPr="00437ED4">
          <w:rPr>
            <w:rStyle w:val="Hyperlink"/>
          </w:rPr>
          <w:t>Elektronischer Austausch von Netzrechnungen</w:t>
        </w:r>
        <w:r w:rsidR="00C56979">
          <w:rPr>
            <w:webHidden/>
          </w:rPr>
          <w:tab/>
        </w:r>
        <w:r w:rsidR="00C56979">
          <w:rPr>
            <w:webHidden/>
          </w:rPr>
          <w:fldChar w:fldCharType="begin"/>
        </w:r>
        <w:r w:rsidR="00C56979">
          <w:rPr>
            <w:webHidden/>
          </w:rPr>
          <w:instrText xml:space="preserve"> PAGEREF _Toc31376451 \h </w:instrText>
        </w:r>
        <w:r w:rsidR="00C56979">
          <w:rPr>
            <w:webHidden/>
          </w:rPr>
        </w:r>
        <w:r w:rsidR="00C56979">
          <w:rPr>
            <w:webHidden/>
          </w:rPr>
          <w:fldChar w:fldCharType="separate"/>
        </w:r>
        <w:r w:rsidR="00C56979">
          <w:rPr>
            <w:webHidden/>
          </w:rPr>
          <w:t>24</w:t>
        </w:r>
        <w:r w:rsidR="00C56979">
          <w:rPr>
            <w:webHidden/>
          </w:rPr>
          <w:fldChar w:fldCharType="end"/>
        </w:r>
      </w:hyperlink>
    </w:p>
    <w:p w14:paraId="16246C80" w14:textId="576C0036" w:rsidR="00C56979" w:rsidRDefault="00F26E1C">
      <w:pPr>
        <w:pStyle w:val="Verzeichnis2"/>
        <w:rPr>
          <w:rFonts w:asciiTheme="minorHAnsi" w:eastAsiaTheme="minorEastAsia" w:hAnsiTheme="minorHAnsi" w:cstheme="minorBidi"/>
          <w:bCs w:val="0"/>
          <w:sz w:val="22"/>
          <w:lang w:val="de-DE"/>
        </w:rPr>
      </w:pPr>
      <w:hyperlink w:anchor="_Toc31376452" w:history="1">
        <w:r w:rsidR="00C56979" w:rsidRPr="00437ED4">
          <w:rPr>
            <w:rStyle w:val="Hyperlink"/>
          </w:rPr>
          <w:t>K)</w:t>
        </w:r>
        <w:r w:rsidR="00C56979">
          <w:rPr>
            <w:rFonts w:asciiTheme="minorHAnsi" w:eastAsiaTheme="minorEastAsia" w:hAnsiTheme="minorHAnsi" w:cstheme="minorBidi"/>
            <w:bCs w:val="0"/>
            <w:sz w:val="22"/>
            <w:lang w:val="de-DE"/>
          </w:rPr>
          <w:tab/>
        </w:r>
        <w:r w:rsidR="00C56979" w:rsidRPr="00437ED4">
          <w:rPr>
            <w:rStyle w:val="Hyperlink"/>
          </w:rPr>
          <w:t>Anmeldung zum Informations- und Konsultations-Verteiler der E-Control</w:t>
        </w:r>
        <w:r w:rsidR="00C56979">
          <w:rPr>
            <w:webHidden/>
          </w:rPr>
          <w:tab/>
        </w:r>
        <w:r w:rsidR="00C56979">
          <w:rPr>
            <w:webHidden/>
          </w:rPr>
          <w:fldChar w:fldCharType="begin"/>
        </w:r>
        <w:r w:rsidR="00C56979">
          <w:rPr>
            <w:webHidden/>
          </w:rPr>
          <w:instrText xml:space="preserve"> PAGEREF _Toc31376452 \h </w:instrText>
        </w:r>
        <w:r w:rsidR="00C56979">
          <w:rPr>
            <w:webHidden/>
          </w:rPr>
        </w:r>
        <w:r w:rsidR="00C56979">
          <w:rPr>
            <w:webHidden/>
          </w:rPr>
          <w:fldChar w:fldCharType="separate"/>
        </w:r>
        <w:r w:rsidR="00C56979">
          <w:rPr>
            <w:webHidden/>
          </w:rPr>
          <w:t>25</w:t>
        </w:r>
        <w:r w:rsidR="00C56979">
          <w:rPr>
            <w:webHidden/>
          </w:rPr>
          <w:fldChar w:fldCharType="end"/>
        </w:r>
      </w:hyperlink>
    </w:p>
    <w:bookmarkEnd w:id="0"/>
    <w:p w14:paraId="0E633176" w14:textId="45486399" w:rsidR="00C56979" w:rsidRDefault="00323A93">
      <w:pPr>
        <w:pStyle w:val="Verzeichnis2"/>
        <w:rPr>
          <w:rFonts w:asciiTheme="minorHAnsi" w:eastAsiaTheme="minorEastAsia" w:hAnsiTheme="minorHAnsi" w:cstheme="minorBidi"/>
          <w:bCs w:val="0"/>
          <w:sz w:val="22"/>
          <w:lang w:val="de-DE"/>
        </w:rPr>
      </w:pPr>
      <w:r>
        <w:fldChar w:fldCharType="begin"/>
      </w:r>
      <w:r>
        <w:instrText xml:space="preserve"> HYPERLINK \l "_Toc31376453" </w:instrText>
      </w:r>
      <w:r>
        <w:fldChar w:fldCharType="separate"/>
      </w:r>
      <w:r w:rsidR="00C56979" w:rsidRPr="00437ED4">
        <w:rPr>
          <w:rStyle w:val="Hyperlink"/>
        </w:rPr>
        <w:t>L)</w:t>
      </w:r>
      <w:r w:rsidR="00C56979">
        <w:rPr>
          <w:rFonts w:asciiTheme="minorHAnsi" w:eastAsiaTheme="minorEastAsia" w:hAnsiTheme="minorHAnsi" w:cstheme="minorBidi"/>
          <w:bCs w:val="0"/>
          <w:sz w:val="22"/>
          <w:lang w:val="de-DE"/>
        </w:rPr>
        <w:tab/>
      </w:r>
      <w:r w:rsidR="00C56979" w:rsidRPr="00437ED4">
        <w:rPr>
          <w:rStyle w:val="Hyperlink"/>
        </w:rPr>
        <w:t>OeMAG – Abwicklungsstelle für Ökostrom – Kontrahierung</w:t>
      </w:r>
      <w:r w:rsidR="00C56979">
        <w:rPr>
          <w:webHidden/>
        </w:rPr>
        <w:tab/>
      </w:r>
      <w:r w:rsidR="00C56979">
        <w:rPr>
          <w:webHidden/>
        </w:rPr>
        <w:fldChar w:fldCharType="begin"/>
      </w:r>
      <w:r w:rsidR="00C56979">
        <w:rPr>
          <w:webHidden/>
        </w:rPr>
        <w:instrText xml:space="preserve"> PAGEREF _Toc31376453 \h </w:instrText>
      </w:r>
      <w:r w:rsidR="00C56979">
        <w:rPr>
          <w:webHidden/>
        </w:rPr>
      </w:r>
      <w:r w:rsidR="00C56979">
        <w:rPr>
          <w:webHidden/>
        </w:rPr>
        <w:fldChar w:fldCharType="separate"/>
      </w:r>
      <w:r w:rsidR="00C56979">
        <w:rPr>
          <w:webHidden/>
        </w:rPr>
        <w:t>26</w:t>
      </w:r>
      <w:r w:rsidR="00C56979">
        <w:rPr>
          <w:webHidden/>
        </w:rPr>
        <w:fldChar w:fldCharType="end"/>
      </w:r>
      <w:r>
        <w:fldChar w:fldCharType="end"/>
      </w:r>
    </w:p>
    <w:p w14:paraId="0E6D2FDF" w14:textId="2C16E861" w:rsidR="00C56979" w:rsidRDefault="00F26E1C">
      <w:pPr>
        <w:pStyle w:val="Verzeichnis1"/>
        <w:rPr>
          <w:rFonts w:asciiTheme="minorHAnsi" w:eastAsiaTheme="minorEastAsia" w:hAnsiTheme="minorHAnsi" w:cstheme="minorBidi"/>
          <w:b w:val="0"/>
          <w:bCs w:val="0"/>
          <w:szCs w:val="22"/>
          <w:lang w:val="de-DE"/>
        </w:rPr>
      </w:pPr>
      <w:hyperlink w:anchor="_Toc31376454" w:history="1">
        <w:r w:rsidR="00C56979" w:rsidRPr="00437ED4">
          <w:rPr>
            <w:rStyle w:val="Hyperlink"/>
          </w:rPr>
          <w:t>Erledigungen laufend WÄHREND Geschäftstätigkeit</w:t>
        </w:r>
        <w:r w:rsidR="00C56979">
          <w:rPr>
            <w:webHidden/>
          </w:rPr>
          <w:tab/>
        </w:r>
        <w:r w:rsidR="00C56979">
          <w:rPr>
            <w:webHidden/>
          </w:rPr>
          <w:fldChar w:fldCharType="begin"/>
        </w:r>
        <w:r w:rsidR="00C56979">
          <w:rPr>
            <w:webHidden/>
          </w:rPr>
          <w:instrText xml:space="preserve"> PAGEREF _Toc31376454 \h </w:instrText>
        </w:r>
        <w:r w:rsidR="00C56979">
          <w:rPr>
            <w:webHidden/>
          </w:rPr>
        </w:r>
        <w:r w:rsidR="00C56979">
          <w:rPr>
            <w:webHidden/>
          </w:rPr>
          <w:fldChar w:fldCharType="separate"/>
        </w:r>
        <w:r w:rsidR="00C56979">
          <w:rPr>
            <w:webHidden/>
          </w:rPr>
          <w:t>29</w:t>
        </w:r>
        <w:r w:rsidR="00C56979">
          <w:rPr>
            <w:webHidden/>
          </w:rPr>
          <w:fldChar w:fldCharType="end"/>
        </w:r>
      </w:hyperlink>
    </w:p>
    <w:p w14:paraId="0DD233BD" w14:textId="08F4A80F" w:rsidR="00C56979" w:rsidRDefault="00F26E1C">
      <w:pPr>
        <w:pStyle w:val="Verzeichnis2"/>
        <w:rPr>
          <w:rFonts w:asciiTheme="minorHAnsi" w:eastAsiaTheme="minorEastAsia" w:hAnsiTheme="minorHAnsi" w:cstheme="minorBidi"/>
          <w:bCs w:val="0"/>
          <w:sz w:val="22"/>
          <w:lang w:val="de-DE"/>
        </w:rPr>
      </w:pPr>
      <w:hyperlink w:anchor="_Toc31376455" w:history="1">
        <w:r w:rsidR="00C56979" w:rsidRPr="00437ED4">
          <w:rPr>
            <w:rStyle w:val="Hyperlink"/>
          </w:rPr>
          <w:t>M)</w:t>
        </w:r>
        <w:r w:rsidR="00C56979">
          <w:rPr>
            <w:rFonts w:asciiTheme="minorHAnsi" w:eastAsiaTheme="minorEastAsia" w:hAnsiTheme="minorHAnsi" w:cstheme="minorBidi"/>
            <w:bCs w:val="0"/>
            <w:sz w:val="22"/>
            <w:lang w:val="de-DE"/>
          </w:rPr>
          <w:tab/>
        </w:r>
        <w:r w:rsidR="00C56979" w:rsidRPr="00437ED4">
          <w:rPr>
            <w:rStyle w:val="Hyperlink"/>
          </w:rPr>
          <w:t>Tarifkalkulatoren – Datenpflege</w:t>
        </w:r>
        <w:r w:rsidR="00C56979">
          <w:rPr>
            <w:webHidden/>
          </w:rPr>
          <w:tab/>
        </w:r>
        <w:r w:rsidR="00C56979">
          <w:rPr>
            <w:webHidden/>
          </w:rPr>
          <w:fldChar w:fldCharType="begin"/>
        </w:r>
        <w:r w:rsidR="00C56979">
          <w:rPr>
            <w:webHidden/>
          </w:rPr>
          <w:instrText xml:space="preserve"> PAGEREF _Toc31376455 \h </w:instrText>
        </w:r>
        <w:r w:rsidR="00C56979">
          <w:rPr>
            <w:webHidden/>
          </w:rPr>
        </w:r>
        <w:r w:rsidR="00C56979">
          <w:rPr>
            <w:webHidden/>
          </w:rPr>
          <w:fldChar w:fldCharType="separate"/>
        </w:r>
        <w:r w:rsidR="00C56979">
          <w:rPr>
            <w:webHidden/>
          </w:rPr>
          <w:t>29</w:t>
        </w:r>
        <w:r w:rsidR="00C56979">
          <w:rPr>
            <w:webHidden/>
          </w:rPr>
          <w:fldChar w:fldCharType="end"/>
        </w:r>
      </w:hyperlink>
    </w:p>
    <w:p w14:paraId="54179634" w14:textId="102CE7A4" w:rsidR="00C56979" w:rsidRDefault="00F26E1C">
      <w:pPr>
        <w:pStyle w:val="Verzeichnis2"/>
        <w:rPr>
          <w:rFonts w:asciiTheme="minorHAnsi" w:eastAsiaTheme="minorEastAsia" w:hAnsiTheme="minorHAnsi" w:cstheme="minorBidi"/>
          <w:bCs w:val="0"/>
          <w:sz w:val="22"/>
          <w:lang w:val="de-DE"/>
        </w:rPr>
      </w:pPr>
      <w:hyperlink w:anchor="_Toc31376456" w:history="1">
        <w:r w:rsidR="00C56979" w:rsidRPr="00437ED4">
          <w:rPr>
            <w:rStyle w:val="Hyperlink"/>
          </w:rPr>
          <w:t>N)</w:t>
        </w:r>
        <w:r w:rsidR="00C56979">
          <w:rPr>
            <w:rFonts w:asciiTheme="minorHAnsi" w:eastAsiaTheme="minorEastAsia" w:hAnsiTheme="minorHAnsi" w:cstheme="minorBidi"/>
            <w:bCs w:val="0"/>
            <w:sz w:val="22"/>
            <w:lang w:val="de-DE"/>
          </w:rPr>
          <w:tab/>
        </w:r>
        <w:r w:rsidR="00C56979" w:rsidRPr="00437ED4">
          <w:rPr>
            <w:rStyle w:val="Hyperlink"/>
          </w:rPr>
          <w:t>Rechnungslegung</w:t>
        </w:r>
        <w:r w:rsidR="00C56979">
          <w:rPr>
            <w:webHidden/>
          </w:rPr>
          <w:tab/>
        </w:r>
        <w:r w:rsidR="00C56979">
          <w:rPr>
            <w:webHidden/>
          </w:rPr>
          <w:fldChar w:fldCharType="begin"/>
        </w:r>
        <w:r w:rsidR="00C56979">
          <w:rPr>
            <w:webHidden/>
          </w:rPr>
          <w:instrText xml:space="preserve"> PAGEREF _Toc31376456 \h </w:instrText>
        </w:r>
        <w:r w:rsidR="00C56979">
          <w:rPr>
            <w:webHidden/>
          </w:rPr>
        </w:r>
        <w:r w:rsidR="00C56979">
          <w:rPr>
            <w:webHidden/>
          </w:rPr>
          <w:fldChar w:fldCharType="separate"/>
        </w:r>
        <w:r w:rsidR="00C56979">
          <w:rPr>
            <w:webHidden/>
          </w:rPr>
          <w:t>30</w:t>
        </w:r>
        <w:r w:rsidR="00C56979">
          <w:rPr>
            <w:webHidden/>
          </w:rPr>
          <w:fldChar w:fldCharType="end"/>
        </w:r>
      </w:hyperlink>
    </w:p>
    <w:p w14:paraId="27EA19BD" w14:textId="05E3DF13" w:rsidR="00C56979" w:rsidRDefault="00F26E1C">
      <w:pPr>
        <w:pStyle w:val="Verzeichnis2"/>
        <w:rPr>
          <w:rFonts w:asciiTheme="minorHAnsi" w:eastAsiaTheme="minorEastAsia" w:hAnsiTheme="minorHAnsi" w:cstheme="minorBidi"/>
          <w:bCs w:val="0"/>
          <w:sz w:val="22"/>
          <w:lang w:val="de-DE"/>
        </w:rPr>
      </w:pPr>
      <w:hyperlink w:anchor="_Toc31376457" w:history="1">
        <w:r w:rsidR="00C56979" w:rsidRPr="00437ED4">
          <w:rPr>
            <w:rStyle w:val="Hyperlink"/>
          </w:rPr>
          <w:t>O)</w:t>
        </w:r>
        <w:r w:rsidR="00C56979">
          <w:rPr>
            <w:rFonts w:asciiTheme="minorHAnsi" w:eastAsiaTheme="minorEastAsia" w:hAnsiTheme="minorHAnsi" w:cstheme="minorBidi"/>
            <w:bCs w:val="0"/>
            <w:sz w:val="22"/>
            <w:lang w:val="de-DE"/>
          </w:rPr>
          <w:tab/>
        </w:r>
        <w:r w:rsidR="00C56979" w:rsidRPr="00437ED4">
          <w:rPr>
            <w:rStyle w:val="Hyperlink"/>
          </w:rPr>
          <w:t>Informationspflichten gegenüber Kunden</w:t>
        </w:r>
        <w:r w:rsidR="00C56979">
          <w:rPr>
            <w:webHidden/>
          </w:rPr>
          <w:tab/>
        </w:r>
        <w:r w:rsidR="00C56979">
          <w:rPr>
            <w:webHidden/>
          </w:rPr>
          <w:fldChar w:fldCharType="begin"/>
        </w:r>
        <w:r w:rsidR="00C56979">
          <w:rPr>
            <w:webHidden/>
          </w:rPr>
          <w:instrText xml:space="preserve"> PAGEREF _Toc31376457 \h </w:instrText>
        </w:r>
        <w:r w:rsidR="00C56979">
          <w:rPr>
            <w:webHidden/>
          </w:rPr>
        </w:r>
        <w:r w:rsidR="00C56979">
          <w:rPr>
            <w:webHidden/>
          </w:rPr>
          <w:fldChar w:fldCharType="separate"/>
        </w:r>
        <w:r w:rsidR="00C56979">
          <w:rPr>
            <w:webHidden/>
          </w:rPr>
          <w:t>33</w:t>
        </w:r>
        <w:r w:rsidR="00C56979">
          <w:rPr>
            <w:webHidden/>
          </w:rPr>
          <w:fldChar w:fldCharType="end"/>
        </w:r>
      </w:hyperlink>
    </w:p>
    <w:p w14:paraId="5AEA4120" w14:textId="1868A930" w:rsidR="00C56979" w:rsidRDefault="00F26E1C">
      <w:pPr>
        <w:pStyle w:val="Verzeichnis2"/>
        <w:rPr>
          <w:rFonts w:asciiTheme="minorHAnsi" w:eastAsiaTheme="minorEastAsia" w:hAnsiTheme="minorHAnsi" w:cstheme="minorBidi"/>
          <w:bCs w:val="0"/>
          <w:sz w:val="22"/>
          <w:lang w:val="de-DE"/>
        </w:rPr>
      </w:pPr>
      <w:hyperlink w:anchor="_Toc31376458" w:history="1">
        <w:r w:rsidR="00C56979" w:rsidRPr="00437ED4">
          <w:rPr>
            <w:rStyle w:val="Hyperlink"/>
          </w:rPr>
          <w:t>P)</w:t>
        </w:r>
        <w:r w:rsidR="00C56979">
          <w:rPr>
            <w:rFonts w:asciiTheme="minorHAnsi" w:eastAsiaTheme="minorEastAsia" w:hAnsiTheme="minorHAnsi" w:cstheme="minorBidi"/>
            <w:bCs w:val="0"/>
            <w:sz w:val="22"/>
            <w:lang w:val="de-DE"/>
          </w:rPr>
          <w:tab/>
        </w:r>
        <w:r w:rsidR="00C56979" w:rsidRPr="00437ED4">
          <w:rPr>
            <w:rStyle w:val="Hyperlink"/>
          </w:rPr>
          <w:t>Stromkennzeichnung</w:t>
        </w:r>
        <w:r w:rsidR="00C56979">
          <w:rPr>
            <w:webHidden/>
          </w:rPr>
          <w:tab/>
        </w:r>
        <w:r w:rsidR="00C56979">
          <w:rPr>
            <w:webHidden/>
          </w:rPr>
          <w:fldChar w:fldCharType="begin"/>
        </w:r>
        <w:r w:rsidR="00C56979">
          <w:rPr>
            <w:webHidden/>
          </w:rPr>
          <w:instrText xml:space="preserve"> PAGEREF _Toc31376458 \h </w:instrText>
        </w:r>
        <w:r w:rsidR="00C56979">
          <w:rPr>
            <w:webHidden/>
          </w:rPr>
        </w:r>
        <w:r w:rsidR="00C56979">
          <w:rPr>
            <w:webHidden/>
          </w:rPr>
          <w:fldChar w:fldCharType="separate"/>
        </w:r>
        <w:r w:rsidR="00C56979">
          <w:rPr>
            <w:webHidden/>
          </w:rPr>
          <w:t>35</w:t>
        </w:r>
        <w:r w:rsidR="00C56979">
          <w:rPr>
            <w:webHidden/>
          </w:rPr>
          <w:fldChar w:fldCharType="end"/>
        </w:r>
      </w:hyperlink>
    </w:p>
    <w:p w14:paraId="67D13DD1" w14:textId="60C9557B" w:rsidR="00C56979" w:rsidRDefault="00F26E1C">
      <w:pPr>
        <w:pStyle w:val="Verzeichnis2"/>
        <w:rPr>
          <w:rFonts w:asciiTheme="minorHAnsi" w:eastAsiaTheme="minorEastAsia" w:hAnsiTheme="minorHAnsi" w:cstheme="minorBidi"/>
          <w:bCs w:val="0"/>
          <w:sz w:val="22"/>
          <w:lang w:val="de-DE"/>
        </w:rPr>
      </w:pPr>
      <w:hyperlink w:anchor="_Toc31376459" w:history="1">
        <w:r w:rsidR="00C56979" w:rsidRPr="00437ED4">
          <w:rPr>
            <w:rStyle w:val="Hyperlink"/>
          </w:rPr>
          <w:t>Q)</w:t>
        </w:r>
        <w:r w:rsidR="00C56979">
          <w:rPr>
            <w:rFonts w:asciiTheme="minorHAnsi" w:eastAsiaTheme="minorEastAsia" w:hAnsiTheme="minorHAnsi" w:cstheme="minorBidi"/>
            <w:bCs w:val="0"/>
            <w:sz w:val="22"/>
            <w:lang w:val="de-DE"/>
          </w:rPr>
          <w:tab/>
        </w:r>
        <w:r w:rsidR="00C56979" w:rsidRPr="00437ED4">
          <w:rPr>
            <w:rStyle w:val="Hyperlink"/>
          </w:rPr>
          <w:t>Steuern und Abgaben</w:t>
        </w:r>
        <w:r w:rsidR="00C56979">
          <w:rPr>
            <w:webHidden/>
          </w:rPr>
          <w:tab/>
        </w:r>
        <w:r w:rsidR="00C56979">
          <w:rPr>
            <w:webHidden/>
          </w:rPr>
          <w:fldChar w:fldCharType="begin"/>
        </w:r>
        <w:r w:rsidR="00C56979">
          <w:rPr>
            <w:webHidden/>
          </w:rPr>
          <w:instrText xml:space="preserve"> PAGEREF _Toc31376459 \h </w:instrText>
        </w:r>
        <w:r w:rsidR="00C56979">
          <w:rPr>
            <w:webHidden/>
          </w:rPr>
        </w:r>
        <w:r w:rsidR="00C56979">
          <w:rPr>
            <w:webHidden/>
          </w:rPr>
          <w:fldChar w:fldCharType="separate"/>
        </w:r>
        <w:r w:rsidR="00C56979">
          <w:rPr>
            <w:webHidden/>
          </w:rPr>
          <w:t>36</w:t>
        </w:r>
        <w:r w:rsidR="00C56979">
          <w:rPr>
            <w:webHidden/>
          </w:rPr>
          <w:fldChar w:fldCharType="end"/>
        </w:r>
      </w:hyperlink>
    </w:p>
    <w:p w14:paraId="613D68EB" w14:textId="2476BB20" w:rsidR="00C56979" w:rsidRDefault="00F26E1C">
      <w:pPr>
        <w:pStyle w:val="Verzeichnis2"/>
        <w:rPr>
          <w:rFonts w:asciiTheme="minorHAnsi" w:eastAsiaTheme="minorEastAsia" w:hAnsiTheme="minorHAnsi" w:cstheme="minorBidi"/>
          <w:bCs w:val="0"/>
          <w:sz w:val="22"/>
          <w:lang w:val="de-DE"/>
        </w:rPr>
      </w:pPr>
      <w:hyperlink w:anchor="_Toc31376460" w:history="1">
        <w:r w:rsidR="00C56979" w:rsidRPr="00437ED4">
          <w:rPr>
            <w:rStyle w:val="Hyperlink"/>
          </w:rPr>
          <w:t>R)</w:t>
        </w:r>
        <w:r w:rsidR="00C56979">
          <w:rPr>
            <w:rFonts w:asciiTheme="minorHAnsi" w:eastAsiaTheme="minorEastAsia" w:hAnsiTheme="minorHAnsi" w:cstheme="minorBidi"/>
            <w:bCs w:val="0"/>
            <w:sz w:val="22"/>
            <w:lang w:val="de-DE"/>
          </w:rPr>
          <w:tab/>
        </w:r>
        <w:r w:rsidR="00C56979" w:rsidRPr="00437ED4">
          <w:rPr>
            <w:rStyle w:val="Hyperlink"/>
          </w:rPr>
          <w:t>Energieeffizienzverpflichtungen</w:t>
        </w:r>
        <w:r w:rsidR="00C56979">
          <w:rPr>
            <w:webHidden/>
          </w:rPr>
          <w:tab/>
        </w:r>
        <w:r w:rsidR="00C56979">
          <w:rPr>
            <w:webHidden/>
          </w:rPr>
          <w:fldChar w:fldCharType="begin"/>
        </w:r>
        <w:r w:rsidR="00C56979">
          <w:rPr>
            <w:webHidden/>
          </w:rPr>
          <w:instrText xml:space="preserve"> PAGEREF _Toc31376460 \h </w:instrText>
        </w:r>
        <w:r w:rsidR="00C56979">
          <w:rPr>
            <w:webHidden/>
          </w:rPr>
        </w:r>
        <w:r w:rsidR="00C56979">
          <w:rPr>
            <w:webHidden/>
          </w:rPr>
          <w:fldChar w:fldCharType="separate"/>
        </w:r>
        <w:r w:rsidR="00C56979">
          <w:rPr>
            <w:webHidden/>
          </w:rPr>
          <w:t>39</w:t>
        </w:r>
        <w:r w:rsidR="00C56979">
          <w:rPr>
            <w:webHidden/>
          </w:rPr>
          <w:fldChar w:fldCharType="end"/>
        </w:r>
      </w:hyperlink>
    </w:p>
    <w:p w14:paraId="0BEEF217" w14:textId="41FCA8DE" w:rsidR="00C56979" w:rsidRDefault="00F26E1C">
      <w:pPr>
        <w:pStyle w:val="Verzeichnis2"/>
        <w:rPr>
          <w:rFonts w:asciiTheme="minorHAnsi" w:eastAsiaTheme="minorEastAsia" w:hAnsiTheme="minorHAnsi" w:cstheme="minorBidi"/>
          <w:bCs w:val="0"/>
          <w:sz w:val="22"/>
          <w:lang w:val="de-DE"/>
        </w:rPr>
      </w:pPr>
      <w:hyperlink w:anchor="_Toc31376461" w:history="1">
        <w:r w:rsidR="00C56979" w:rsidRPr="00437ED4">
          <w:rPr>
            <w:rStyle w:val="Hyperlink"/>
          </w:rPr>
          <w:t>S)</w:t>
        </w:r>
        <w:r w:rsidR="00C56979">
          <w:rPr>
            <w:rFonts w:asciiTheme="minorHAnsi" w:eastAsiaTheme="minorEastAsia" w:hAnsiTheme="minorHAnsi" w:cstheme="minorBidi"/>
            <w:bCs w:val="0"/>
            <w:sz w:val="22"/>
            <w:lang w:val="de-DE"/>
          </w:rPr>
          <w:tab/>
        </w:r>
        <w:r w:rsidR="00C56979" w:rsidRPr="00437ED4">
          <w:rPr>
            <w:rStyle w:val="Hyperlink"/>
          </w:rPr>
          <w:t>Meldepflichten zu Statistik, Energielenkung und Monitoring</w:t>
        </w:r>
        <w:r w:rsidR="00C56979">
          <w:rPr>
            <w:webHidden/>
          </w:rPr>
          <w:tab/>
        </w:r>
        <w:r w:rsidR="00C56979">
          <w:rPr>
            <w:webHidden/>
          </w:rPr>
          <w:fldChar w:fldCharType="begin"/>
        </w:r>
        <w:r w:rsidR="00C56979">
          <w:rPr>
            <w:webHidden/>
          </w:rPr>
          <w:instrText xml:space="preserve"> PAGEREF _Toc31376461 \h </w:instrText>
        </w:r>
        <w:r w:rsidR="00C56979">
          <w:rPr>
            <w:webHidden/>
          </w:rPr>
        </w:r>
        <w:r w:rsidR="00C56979">
          <w:rPr>
            <w:webHidden/>
          </w:rPr>
          <w:fldChar w:fldCharType="separate"/>
        </w:r>
        <w:r w:rsidR="00C56979">
          <w:rPr>
            <w:webHidden/>
          </w:rPr>
          <w:t>41</w:t>
        </w:r>
        <w:r w:rsidR="00C56979">
          <w:rPr>
            <w:webHidden/>
          </w:rPr>
          <w:fldChar w:fldCharType="end"/>
        </w:r>
      </w:hyperlink>
    </w:p>
    <w:p w14:paraId="68CA135A" w14:textId="6AB22D64" w:rsidR="00C56979" w:rsidRDefault="00F26E1C">
      <w:pPr>
        <w:pStyle w:val="Verzeichnis2"/>
        <w:rPr>
          <w:rFonts w:asciiTheme="minorHAnsi" w:eastAsiaTheme="minorEastAsia" w:hAnsiTheme="minorHAnsi" w:cstheme="minorBidi"/>
          <w:bCs w:val="0"/>
          <w:sz w:val="22"/>
          <w:lang w:val="de-DE"/>
        </w:rPr>
      </w:pPr>
      <w:hyperlink w:anchor="_Toc31376462" w:history="1">
        <w:r w:rsidR="00C56979" w:rsidRPr="00437ED4">
          <w:rPr>
            <w:rStyle w:val="Hyperlink"/>
          </w:rPr>
          <w:t>T)</w:t>
        </w:r>
        <w:r w:rsidR="00C56979">
          <w:rPr>
            <w:rFonts w:asciiTheme="minorHAnsi" w:eastAsiaTheme="minorEastAsia" w:hAnsiTheme="minorHAnsi" w:cstheme="minorBidi"/>
            <w:bCs w:val="0"/>
            <w:sz w:val="22"/>
            <w:lang w:val="de-DE"/>
          </w:rPr>
          <w:tab/>
        </w:r>
        <w:r w:rsidR="00C56979" w:rsidRPr="00437ED4">
          <w:rPr>
            <w:rStyle w:val="Hyperlink"/>
          </w:rPr>
          <w:t>Verpflichtungen gemäß REMIT</w:t>
        </w:r>
        <w:r w:rsidR="00C56979">
          <w:rPr>
            <w:webHidden/>
          </w:rPr>
          <w:tab/>
        </w:r>
        <w:r w:rsidR="00C56979">
          <w:rPr>
            <w:webHidden/>
          </w:rPr>
          <w:fldChar w:fldCharType="begin"/>
        </w:r>
        <w:r w:rsidR="00C56979">
          <w:rPr>
            <w:webHidden/>
          </w:rPr>
          <w:instrText xml:space="preserve"> PAGEREF _Toc31376462 \h </w:instrText>
        </w:r>
        <w:r w:rsidR="00C56979">
          <w:rPr>
            <w:webHidden/>
          </w:rPr>
        </w:r>
        <w:r w:rsidR="00C56979">
          <w:rPr>
            <w:webHidden/>
          </w:rPr>
          <w:fldChar w:fldCharType="separate"/>
        </w:r>
        <w:r w:rsidR="00C56979">
          <w:rPr>
            <w:webHidden/>
          </w:rPr>
          <w:t>42</w:t>
        </w:r>
        <w:r w:rsidR="00C56979">
          <w:rPr>
            <w:webHidden/>
          </w:rPr>
          <w:fldChar w:fldCharType="end"/>
        </w:r>
      </w:hyperlink>
    </w:p>
    <w:p w14:paraId="2B5549F9" w14:textId="0BBF2362" w:rsidR="00C56979" w:rsidRDefault="00F26E1C">
      <w:pPr>
        <w:pStyle w:val="Verzeichnis2"/>
        <w:rPr>
          <w:rFonts w:asciiTheme="minorHAnsi" w:eastAsiaTheme="minorEastAsia" w:hAnsiTheme="minorHAnsi" w:cstheme="minorBidi"/>
          <w:bCs w:val="0"/>
          <w:sz w:val="22"/>
          <w:lang w:val="de-DE"/>
        </w:rPr>
      </w:pPr>
      <w:hyperlink w:anchor="_Toc31376463" w:history="1">
        <w:r w:rsidR="00C56979" w:rsidRPr="00437ED4">
          <w:rPr>
            <w:rStyle w:val="Hyperlink"/>
          </w:rPr>
          <w:t>U)</w:t>
        </w:r>
        <w:r w:rsidR="00C56979">
          <w:rPr>
            <w:rFonts w:asciiTheme="minorHAnsi" w:eastAsiaTheme="minorEastAsia" w:hAnsiTheme="minorHAnsi" w:cstheme="minorBidi"/>
            <w:bCs w:val="0"/>
            <w:sz w:val="22"/>
            <w:lang w:val="de-DE"/>
          </w:rPr>
          <w:tab/>
        </w:r>
        <w:r w:rsidR="00C56979" w:rsidRPr="00437ED4">
          <w:rPr>
            <w:rStyle w:val="Hyperlink"/>
          </w:rPr>
          <w:t>Informationen zu weiteren Pflichten</w:t>
        </w:r>
        <w:r w:rsidR="00C56979">
          <w:rPr>
            <w:webHidden/>
          </w:rPr>
          <w:tab/>
        </w:r>
        <w:r w:rsidR="00C56979">
          <w:rPr>
            <w:webHidden/>
          </w:rPr>
          <w:fldChar w:fldCharType="begin"/>
        </w:r>
        <w:r w:rsidR="00C56979">
          <w:rPr>
            <w:webHidden/>
          </w:rPr>
          <w:instrText xml:space="preserve"> PAGEREF _Toc31376463 \h </w:instrText>
        </w:r>
        <w:r w:rsidR="00C56979">
          <w:rPr>
            <w:webHidden/>
          </w:rPr>
        </w:r>
        <w:r w:rsidR="00C56979">
          <w:rPr>
            <w:webHidden/>
          </w:rPr>
          <w:fldChar w:fldCharType="separate"/>
        </w:r>
        <w:r w:rsidR="00C56979">
          <w:rPr>
            <w:webHidden/>
          </w:rPr>
          <w:t>44</w:t>
        </w:r>
        <w:r w:rsidR="00C56979">
          <w:rPr>
            <w:webHidden/>
          </w:rPr>
          <w:fldChar w:fldCharType="end"/>
        </w:r>
      </w:hyperlink>
    </w:p>
    <w:p w14:paraId="0203ACFA" w14:textId="0A10902C" w:rsidR="00C56979" w:rsidRDefault="00F26E1C">
      <w:pPr>
        <w:pStyle w:val="Verzeichnis1"/>
        <w:rPr>
          <w:rFonts w:asciiTheme="minorHAnsi" w:eastAsiaTheme="minorEastAsia" w:hAnsiTheme="minorHAnsi" w:cstheme="minorBidi"/>
          <w:b w:val="0"/>
          <w:bCs w:val="0"/>
          <w:szCs w:val="22"/>
          <w:lang w:val="de-DE"/>
        </w:rPr>
      </w:pPr>
      <w:hyperlink w:anchor="_Toc31376464" w:history="1">
        <w:r w:rsidR="00C56979" w:rsidRPr="00437ED4">
          <w:rPr>
            <w:rStyle w:val="Hyperlink"/>
          </w:rPr>
          <w:t>ANNEX: Rechtsrahmen</w:t>
        </w:r>
        <w:r w:rsidR="00C56979">
          <w:rPr>
            <w:webHidden/>
          </w:rPr>
          <w:tab/>
        </w:r>
        <w:r w:rsidR="00C56979">
          <w:rPr>
            <w:webHidden/>
          </w:rPr>
          <w:fldChar w:fldCharType="begin"/>
        </w:r>
        <w:r w:rsidR="00C56979">
          <w:rPr>
            <w:webHidden/>
          </w:rPr>
          <w:instrText xml:space="preserve"> PAGEREF _Toc31376464 \h </w:instrText>
        </w:r>
        <w:r w:rsidR="00C56979">
          <w:rPr>
            <w:webHidden/>
          </w:rPr>
        </w:r>
        <w:r w:rsidR="00C56979">
          <w:rPr>
            <w:webHidden/>
          </w:rPr>
          <w:fldChar w:fldCharType="separate"/>
        </w:r>
        <w:r w:rsidR="00C56979">
          <w:rPr>
            <w:webHidden/>
          </w:rPr>
          <w:t>45</w:t>
        </w:r>
        <w:r w:rsidR="00C56979">
          <w:rPr>
            <w:webHidden/>
          </w:rPr>
          <w:fldChar w:fldCharType="end"/>
        </w:r>
      </w:hyperlink>
    </w:p>
    <w:p w14:paraId="620FAC4A" w14:textId="0465CCB6" w:rsidR="00C56979" w:rsidRDefault="00F26E1C">
      <w:pPr>
        <w:pStyle w:val="Verzeichnis2"/>
        <w:rPr>
          <w:rFonts w:asciiTheme="minorHAnsi" w:eastAsiaTheme="minorEastAsia" w:hAnsiTheme="minorHAnsi" w:cstheme="minorBidi"/>
          <w:bCs w:val="0"/>
          <w:sz w:val="22"/>
          <w:lang w:val="de-DE"/>
        </w:rPr>
      </w:pPr>
      <w:hyperlink w:anchor="_Toc31376465" w:history="1">
        <w:r w:rsidR="00C56979" w:rsidRPr="00437ED4">
          <w:rPr>
            <w:rStyle w:val="Hyperlink"/>
          </w:rPr>
          <w:t>Linksammlung zu Rechtstexten</w:t>
        </w:r>
        <w:r w:rsidR="00C56979">
          <w:rPr>
            <w:webHidden/>
          </w:rPr>
          <w:tab/>
        </w:r>
        <w:r w:rsidR="00C56979">
          <w:rPr>
            <w:webHidden/>
          </w:rPr>
          <w:fldChar w:fldCharType="begin"/>
        </w:r>
        <w:r w:rsidR="00C56979">
          <w:rPr>
            <w:webHidden/>
          </w:rPr>
          <w:instrText xml:space="preserve"> PAGEREF _Toc31376465 \h </w:instrText>
        </w:r>
        <w:r w:rsidR="00C56979">
          <w:rPr>
            <w:webHidden/>
          </w:rPr>
        </w:r>
        <w:r w:rsidR="00C56979">
          <w:rPr>
            <w:webHidden/>
          </w:rPr>
          <w:fldChar w:fldCharType="separate"/>
        </w:r>
        <w:r w:rsidR="00C56979">
          <w:rPr>
            <w:webHidden/>
          </w:rPr>
          <w:t>45</w:t>
        </w:r>
        <w:r w:rsidR="00C56979">
          <w:rPr>
            <w:webHidden/>
          </w:rPr>
          <w:fldChar w:fldCharType="end"/>
        </w:r>
      </w:hyperlink>
    </w:p>
    <w:p w14:paraId="0E5178F1" w14:textId="52CA34F3" w:rsidR="00C56979" w:rsidRDefault="00F26E1C">
      <w:pPr>
        <w:pStyle w:val="Verzeichnis3"/>
        <w:rPr>
          <w:rFonts w:asciiTheme="minorHAnsi" w:eastAsiaTheme="minorEastAsia" w:hAnsiTheme="minorHAnsi" w:cstheme="minorBidi"/>
          <w:sz w:val="22"/>
          <w:szCs w:val="22"/>
          <w:lang w:val="de-DE"/>
        </w:rPr>
      </w:pPr>
      <w:hyperlink w:anchor="_Toc31376466" w:history="1">
        <w:r w:rsidR="00C56979" w:rsidRPr="00437ED4">
          <w:rPr>
            <w:rStyle w:val="Hyperlink"/>
          </w:rPr>
          <w:t>Basis-Gesetzgebung</w:t>
        </w:r>
        <w:r w:rsidR="00C56979">
          <w:rPr>
            <w:webHidden/>
          </w:rPr>
          <w:tab/>
        </w:r>
        <w:r w:rsidR="00C56979">
          <w:rPr>
            <w:webHidden/>
          </w:rPr>
          <w:fldChar w:fldCharType="begin"/>
        </w:r>
        <w:r w:rsidR="00C56979">
          <w:rPr>
            <w:webHidden/>
          </w:rPr>
          <w:instrText xml:space="preserve"> PAGEREF _Toc31376466 \h </w:instrText>
        </w:r>
        <w:r w:rsidR="00C56979">
          <w:rPr>
            <w:webHidden/>
          </w:rPr>
        </w:r>
        <w:r w:rsidR="00C56979">
          <w:rPr>
            <w:webHidden/>
          </w:rPr>
          <w:fldChar w:fldCharType="separate"/>
        </w:r>
        <w:r w:rsidR="00C56979">
          <w:rPr>
            <w:webHidden/>
          </w:rPr>
          <w:t>45</w:t>
        </w:r>
        <w:r w:rsidR="00C56979">
          <w:rPr>
            <w:webHidden/>
          </w:rPr>
          <w:fldChar w:fldCharType="end"/>
        </w:r>
      </w:hyperlink>
    </w:p>
    <w:p w14:paraId="669968CD" w14:textId="6FE7C4B3" w:rsidR="00C56979" w:rsidRDefault="00F26E1C">
      <w:pPr>
        <w:pStyle w:val="Verzeichnis3"/>
        <w:rPr>
          <w:rFonts w:asciiTheme="minorHAnsi" w:eastAsiaTheme="minorEastAsia" w:hAnsiTheme="minorHAnsi" w:cstheme="minorBidi"/>
          <w:sz w:val="22"/>
          <w:szCs w:val="22"/>
          <w:lang w:val="de-DE"/>
        </w:rPr>
      </w:pPr>
      <w:hyperlink w:anchor="_Toc31376467" w:history="1">
        <w:r w:rsidR="00C56979" w:rsidRPr="00437ED4">
          <w:rPr>
            <w:rStyle w:val="Hyperlink"/>
          </w:rPr>
          <w:t>Gesetze zu Spezialthemen</w:t>
        </w:r>
        <w:r w:rsidR="00C56979">
          <w:rPr>
            <w:webHidden/>
          </w:rPr>
          <w:tab/>
        </w:r>
        <w:r w:rsidR="00C56979">
          <w:rPr>
            <w:webHidden/>
          </w:rPr>
          <w:fldChar w:fldCharType="begin"/>
        </w:r>
        <w:r w:rsidR="00C56979">
          <w:rPr>
            <w:webHidden/>
          </w:rPr>
          <w:instrText xml:space="preserve"> PAGEREF _Toc31376467 \h </w:instrText>
        </w:r>
        <w:r w:rsidR="00C56979">
          <w:rPr>
            <w:webHidden/>
          </w:rPr>
        </w:r>
        <w:r w:rsidR="00C56979">
          <w:rPr>
            <w:webHidden/>
          </w:rPr>
          <w:fldChar w:fldCharType="separate"/>
        </w:r>
        <w:r w:rsidR="00C56979">
          <w:rPr>
            <w:webHidden/>
          </w:rPr>
          <w:t>45</w:t>
        </w:r>
        <w:r w:rsidR="00C56979">
          <w:rPr>
            <w:webHidden/>
          </w:rPr>
          <w:fldChar w:fldCharType="end"/>
        </w:r>
      </w:hyperlink>
    </w:p>
    <w:p w14:paraId="2656639B" w14:textId="6F3A71A1" w:rsidR="00C56979" w:rsidRDefault="00F26E1C">
      <w:pPr>
        <w:pStyle w:val="Verzeichnis2"/>
        <w:rPr>
          <w:rFonts w:asciiTheme="minorHAnsi" w:eastAsiaTheme="minorEastAsia" w:hAnsiTheme="minorHAnsi" w:cstheme="minorBidi"/>
          <w:bCs w:val="0"/>
          <w:sz w:val="22"/>
          <w:lang w:val="de-DE"/>
        </w:rPr>
      </w:pPr>
      <w:hyperlink w:anchor="_Toc31376468" w:history="1">
        <w:r w:rsidR="00C56979" w:rsidRPr="00437ED4">
          <w:rPr>
            <w:rStyle w:val="Hyperlink"/>
          </w:rPr>
          <w:t>Auszug rechtsrelevanter Texte</w:t>
        </w:r>
        <w:r w:rsidR="00C56979">
          <w:rPr>
            <w:webHidden/>
          </w:rPr>
          <w:tab/>
        </w:r>
        <w:r w:rsidR="00C56979">
          <w:rPr>
            <w:webHidden/>
          </w:rPr>
          <w:fldChar w:fldCharType="begin"/>
        </w:r>
        <w:r w:rsidR="00C56979">
          <w:rPr>
            <w:webHidden/>
          </w:rPr>
          <w:instrText xml:space="preserve"> PAGEREF _Toc31376468 \h </w:instrText>
        </w:r>
        <w:r w:rsidR="00C56979">
          <w:rPr>
            <w:webHidden/>
          </w:rPr>
        </w:r>
        <w:r w:rsidR="00C56979">
          <w:rPr>
            <w:webHidden/>
          </w:rPr>
          <w:fldChar w:fldCharType="separate"/>
        </w:r>
        <w:r w:rsidR="00C56979">
          <w:rPr>
            <w:webHidden/>
          </w:rPr>
          <w:t>50</w:t>
        </w:r>
        <w:r w:rsidR="00C56979">
          <w:rPr>
            <w:webHidden/>
          </w:rPr>
          <w:fldChar w:fldCharType="end"/>
        </w:r>
      </w:hyperlink>
    </w:p>
    <w:p w14:paraId="5B37F0B2" w14:textId="36C42AE4" w:rsidR="00C56979" w:rsidRDefault="00F26E1C">
      <w:pPr>
        <w:pStyle w:val="Verzeichnis3"/>
        <w:rPr>
          <w:rFonts w:asciiTheme="minorHAnsi" w:eastAsiaTheme="minorEastAsia" w:hAnsiTheme="minorHAnsi" w:cstheme="minorBidi"/>
          <w:sz w:val="22"/>
          <w:szCs w:val="22"/>
          <w:lang w:val="de-DE"/>
        </w:rPr>
      </w:pPr>
      <w:hyperlink w:anchor="_Toc31376469" w:history="1">
        <w:r w:rsidR="00C56979" w:rsidRPr="00437ED4">
          <w:rPr>
            <w:rStyle w:val="Hyperlink"/>
          </w:rPr>
          <w:t>AB VNB (Musterfassung) unter XIX Rechnungslegung</w:t>
        </w:r>
        <w:r w:rsidR="00C56979">
          <w:rPr>
            <w:webHidden/>
          </w:rPr>
          <w:tab/>
        </w:r>
        <w:r w:rsidR="00C56979">
          <w:rPr>
            <w:webHidden/>
          </w:rPr>
          <w:fldChar w:fldCharType="begin"/>
        </w:r>
        <w:r w:rsidR="00C56979">
          <w:rPr>
            <w:webHidden/>
          </w:rPr>
          <w:instrText xml:space="preserve"> PAGEREF _Toc31376469 \h </w:instrText>
        </w:r>
        <w:r w:rsidR="00C56979">
          <w:rPr>
            <w:webHidden/>
          </w:rPr>
        </w:r>
        <w:r w:rsidR="00C56979">
          <w:rPr>
            <w:webHidden/>
          </w:rPr>
          <w:fldChar w:fldCharType="separate"/>
        </w:r>
        <w:r w:rsidR="00C56979">
          <w:rPr>
            <w:webHidden/>
          </w:rPr>
          <w:t>50</w:t>
        </w:r>
        <w:r w:rsidR="00C56979">
          <w:rPr>
            <w:webHidden/>
          </w:rPr>
          <w:fldChar w:fldCharType="end"/>
        </w:r>
      </w:hyperlink>
    </w:p>
    <w:p w14:paraId="0C19D022" w14:textId="1FCCA3EF" w:rsidR="00C56979" w:rsidRDefault="00F26E1C">
      <w:pPr>
        <w:pStyle w:val="Verzeichnis3"/>
        <w:rPr>
          <w:rFonts w:asciiTheme="minorHAnsi" w:eastAsiaTheme="minorEastAsia" w:hAnsiTheme="minorHAnsi" w:cstheme="minorBidi"/>
          <w:sz w:val="22"/>
          <w:szCs w:val="22"/>
          <w:lang w:val="de-DE"/>
        </w:rPr>
      </w:pPr>
      <w:hyperlink w:anchor="_Toc31376470" w:history="1">
        <w:r w:rsidR="00C56979" w:rsidRPr="00437ED4">
          <w:rPr>
            <w:rStyle w:val="Hyperlink"/>
          </w:rPr>
          <w:t>Randziffer 1536 UStR 2000 Abs 2</w:t>
        </w:r>
        <w:r w:rsidR="00C56979">
          <w:rPr>
            <w:webHidden/>
          </w:rPr>
          <w:tab/>
        </w:r>
        <w:r w:rsidR="00C56979">
          <w:rPr>
            <w:webHidden/>
          </w:rPr>
          <w:fldChar w:fldCharType="begin"/>
        </w:r>
        <w:r w:rsidR="00C56979">
          <w:rPr>
            <w:webHidden/>
          </w:rPr>
          <w:instrText xml:space="preserve"> PAGEREF _Toc31376470 \h </w:instrText>
        </w:r>
        <w:r w:rsidR="00C56979">
          <w:rPr>
            <w:webHidden/>
          </w:rPr>
        </w:r>
        <w:r w:rsidR="00C56979">
          <w:rPr>
            <w:webHidden/>
          </w:rPr>
          <w:fldChar w:fldCharType="separate"/>
        </w:r>
        <w:r w:rsidR="00C56979">
          <w:rPr>
            <w:webHidden/>
          </w:rPr>
          <w:t>50</w:t>
        </w:r>
        <w:r w:rsidR="00C56979">
          <w:rPr>
            <w:webHidden/>
          </w:rPr>
          <w:fldChar w:fldCharType="end"/>
        </w:r>
      </w:hyperlink>
    </w:p>
    <w:p w14:paraId="2ACF7A21" w14:textId="799F1156" w:rsidR="00013504" w:rsidRDefault="00C63271" w:rsidP="00D44840">
      <w:pPr>
        <w:tabs>
          <w:tab w:val="right" w:leader="dot" w:pos="9360"/>
          <w:tab w:val="right" w:leader="dot" w:pos="9900"/>
        </w:tabs>
        <w:ind w:hanging="540"/>
      </w:pPr>
      <w:r>
        <w:fldChar w:fldCharType="end"/>
      </w:r>
    </w:p>
    <w:p w14:paraId="748D0566" w14:textId="51C712DC" w:rsidR="006700A5" w:rsidRDefault="00013504" w:rsidP="00494F61">
      <w:pPr>
        <w:pStyle w:val="berschrift1"/>
      </w:pPr>
      <w:r>
        <w:br w:type="page"/>
      </w:r>
      <w:bookmarkStart w:id="1" w:name="_Toc379201254"/>
    </w:p>
    <w:p w14:paraId="611509D9" w14:textId="7DAF964C" w:rsidR="006700A5" w:rsidRDefault="006700A5" w:rsidP="006700A5">
      <w:r w:rsidRPr="006700A5">
        <w:lastRenderedPageBreak/>
        <w:t xml:space="preserve">Um als </w:t>
      </w:r>
      <w:r>
        <w:t>Stromhändler</w:t>
      </w:r>
      <w:r w:rsidRPr="006700A5">
        <w:t xml:space="preserve"> und </w:t>
      </w:r>
      <w:r>
        <w:t>Lieferant</w:t>
      </w:r>
      <w:r w:rsidRPr="006700A5">
        <w:t xml:space="preserve"> von Endkunden in Österreich tätig sein zu können, gibt es eine Reihe von Voraussetzungen, die </w:t>
      </w:r>
      <w:r w:rsidRPr="006700A5">
        <w:rPr>
          <w:u w:val="single"/>
        </w:rPr>
        <w:t>vor</w:t>
      </w:r>
      <w:r w:rsidRPr="006700A5">
        <w:t xml:space="preserve"> Aufnahme der Ges</w:t>
      </w:r>
      <w:r>
        <w:t>chäftstätigkeit zu erfüllen</w:t>
      </w:r>
      <w:r w:rsidRPr="006700A5">
        <w:t xml:space="preserve">, sowie Aufgaben, die fortlaufend </w:t>
      </w:r>
      <w:r w:rsidRPr="006700A5">
        <w:rPr>
          <w:u w:val="single"/>
        </w:rPr>
        <w:t>während</w:t>
      </w:r>
      <w:r w:rsidRPr="006700A5">
        <w:t xml:space="preserve"> der Geschäftstätigkeit zu erledigen bzw. zu beachten sind.</w:t>
      </w:r>
    </w:p>
    <w:p w14:paraId="7F27A3F8" w14:textId="77777777" w:rsidR="006700A5" w:rsidRDefault="006700A5" w:rsidP="006700A5"/>
    <w:p w14:paraId="2ECA4EA4" w14:textId="77777777" w:rsidR="0000091E" w:rsidRDefault="0000091E" w:rsidP="00494F61">
      <w:pPr>
        <w:pStyle w:val="berschrift1"/>
      </w:pPr>
      <w:bookmarkStart w:id="2" w:name="_Toc31376441"/>
      <w:r>
        <w:t>Erledigungen VOR Geschäftstätigkeit</w:t>
      </w:r>
      <w:bookmarkEnd w:id="1"/>
      <w:bookmarkEnd w:id="2"/>
    </w:p>
    <w:p w14:paraId="2237B2A3" w14:textId="77777777" w:rsidR="00E41391" w:rsidRPr="00E41391" w:rsidRDefault="00E41391" w:rsidP="00E41391"/>
    <w:p w14:paraId="4DCCCE83" w14:textId="77777777" w:rsidR="0000091E" w:rsidRDefault="0000091E" w:rsidP="009744B5">
      <w:pPr>
        <w:pStyle w:val="berschrift2"/>
        <w:keepNext/>
        <w:keepLines/>
        <w:widowControl/>
        <w:numPr>
          <w:ilvl w:val="0"/>
          <w:numId w:val="3"/>
        </w:numPr>
        <w:overflowPunct/>
        <w:autoSpaceDE/>
        <w:autoSpaceDN/>
        <w:adjustRightInd/>
        <w:spacing w:before="200" w:line="276" w:lineRule="auto"/>
        <w:ind w:left="714" w:hanging="357"/>
        <w:jc w:val="left"/>
        <w:textAlignment w:val="auto"/>
      </w:pPr>
      <w:bookmarkStart w:id="3" w:name="_Toc379201255"/>
      <w:bookmarkStart w:id="4" w:name="_Toc31376442"/>
      <w:bookmarkStart w:id="5" w:name="_Toc353353901"/>
      <w:r>
        <w:t>Eintritt in das Bilanzgruppensystem</w:t>
      </w:r>
      <w:bookmarkEnd w:id="3"/>
      <w:bookmarkEnd w:id="4"/>
      <w:r>
        <w:t xml:space="preserve"> </w:t>
      </w:r>
      <w:bookmarkEnd w:id="5"/>
    </w:p>
    <w:p w14:paraId="451B5361" w14:textId="77777777" w:rsidR="0000091E" w:rsidRPr="009A54B4" w:rsidRDefault="0000091E" w:rsidP="0000091E">
      <w:pPr>
        <w:rPr>
          <w:b/>
        </w:rPr>
      </w:pPr>
      <w:r>
        <w:rPr>
          <w:b/>
        </w:rPr>
        <w:t>Rechtliche</w:t>
      </w:r>
      <w:r w:rsidRPr="009A54B4">
        <w:rPr>
          <w:b/>
        </w:rPr>
        <w:t xml:space="preserve"> Grundlagen</w:t>
      </w:r>
    </w:p>
    <w:p w14:paraId="445A7745" w14:textId="77777777" w:rsidR="0000091E" w:rsidRDefault="00F26E1C" w:rsidP="0000091E">
      <w:pPr>
        <w:pStyle w:val="Listenabsatz"/>
        <w:numPr>
          <w:ilvl w:val="0"/>
          <w:numId w:val="4"/>
        </w:numPr>
      </w:pPr>
      <w:hyperlink r:id="rId12" w:history="1">
        <w:r w:rsidR="0000091E" w:rsidRPr="0004431D">
          <w:rPr>
            <w:rStyle w:val="Hyperlink"/>
          </w:rPr>
          <w:t xml:space="preserve">§§ 85, </w:t>
        </w:r>
        <w:r w:rsidR="0000091E" w:rsidRPr="0004431D">
          <w:rPr>
            <w:rStyle w:val="Hyperlink"/>
            <w:lang w:eastAsia="de-DE"/>
          </w:rPr>
          <w:t>86</w:t>
        </w:r>
        <w:r w:rsidR="0000091E" w:rsidRPr="0004431D">
          <w:rPr>
            <w:rStyle w:val="Hyperlink"/>
          </w:rPr>
          <w:t xml:space="preserve"> und 87 </w:t>
        </w:r>
        <w:proofErr w:type="spellStart"/>
        <w:r w:rsidR="0000091E" w:rsidRPr="0004431D">
          <w:rPr>
            <w:rStyle w:val="Hyperlink"/>
          </w:rPr>
          <w:t>ElWOG</w:t>
        </w:r>
        <w:proofErr w:type="spellEnd"/>
        <w:r w:rsidR="0000091E" w:rsidRPr="0004431D">
          <w:rPr>
            <w:rStyle w:val="Hyperlink"/>
          </w:rPr>
          <w:t xml:space="preserve"> 2010</w:t>
        </w:r>
      </w:hyperlink>
    </w:p>
    <w:p w14:paraId="5D9E7366" w14:textId="1A684C81" w:rsidR="0000091E" w:rsidRPr="00204E9A" w:rsidRDefault="00F26E1C" w:rsidP="0000091E">
      <w:pPr>
        <w:pStyle w:val="Listenabsatz"/>
        <w:numPr>
          <w:ilvl w:val="0"/>
          <w:numId w:val="4"/>
        </w:numPr>
        <w:rPr>
          <w:rStyle w:val="Hyperlink"/>
          <w:color w:val="auto"/>
          <w:u w:val="none"/>
        </w:rPr>
      </w:pPr>
      <w:hyperlink r:id="rId13" w:history="1">
        <w:r w:rsidR="00624FB8" w:rsidRPr="000170B5">
          <w:rPr>
            <w:rStyle w:val="Hyperlink"/>
          </w:rPr>
          <w:t>Landesgesetze</w:t>
        </w:r>
      </w:hyperlink>
    </w:p>
    <w:p w14:paraId="2E4BC276" w14:textId="4B205977" w:rsidR="00837191" w:rsidRDefault="00F26E1C" w:rsidP="00837191">
      <w:pPr>
        <w:pStyle w:val="Listenabsatz"/>
        <w:numPr>
          <w:ilvl w:val="0"/>
          <w:numId w:val="4"/>
        </w:numPr>
      </w:pPr>
      <w:hyperlink r:id="rId14" w:history="1">
        <w:r w:rsidR="00837191" w:rsidRPr="00837191">
          <w:rPr>
            <w:rStyle w:val="Hyperlink"/>
          </w:rPr>
          <w:t>Allgemeine Bedingungen des Bilanzgruppenkoordinators</w:t>
        </w:r>
        <w:r w:rsidR="00837191">
          <w:rPr>
            <w:rStyle w:val="Hyperlink"/>
          </w:rPr>
          <w:t xml:space="preserve"> (A</w:t>
        </w:r>
        <w:r w:rsidR="00837191" w:rsidRPr="00837191">
          <w:rPr>
            <w:rStyle w:val="Hyperlink"/>
          </w:rPr>
          <w:t>B</w:t>
        </w:r>
        <w:r w:rsidR="00837191">
          <w:rPr>
            <w:rStyle w:val="Hyperlink"/>
          </w:rPr>
          <w:t>-</w:t>
        </w:r>
        <w:r w:rsidR="00837191" w:rsidRPr="00837191">
          <w:rPr>
            <w:rStyle w:val="Hyperlink"/>
          </w:rPr>
          <w:t>BK</w:t>
        </w:r>
        <w:r w:rsidR="00837191">
          <w:rPr>
            <w:rStyle w:val="Hyperlink"/>
          </w:rPr>
          <w:t>O)</w:t>
        </w:r>
      </w:hyperlink>
    </w:p>
    <w:p w14:paraId="22BDE806" w14:textId="77777777" w:rsidR="006072F4" w:rsidRDefault="006072F4" w:rsidP="0000091E">
      <w:pPr>
        <w:rPr>
          <w:b/>
        </w:rPr>
      </w:pPr>
    </w:p>
    <w:p w14:paraId="6A7AEB18" w14:textId="77777777" w:rsidR="0000091E" w:rsidRPr="009A54B4" w:rsidRDefault="0000091E" w:rsidP="0000091E">
      <w:pPr>
        <w:rPr>
          <w:b/>
        </w:rPr>
      </w:pPr>
      <w:r w:rsidRPr="009A54B4">
        <w:rPr>
          <w:b/>
        </w:rPr>
        <w:t>Kurzbeschreibung</w:t>
      </w:r>
    </w:p>
    <w:p w14:paraId="0899EB69" w14:textId="63E64DC1" w:rsidR="0000091E" w:rsidRDefault="0000091E" w:rsidP="0000091E">
      <w:r>
        <w:t xml:space="preserve">Um in Österreich als </w:t>
      </w:r>
      <w:r w:rsidR="0004431D">
        <w:t>Stromhändler und Lieferant</w:t>
      </w:r>
      <w:r>
        <w:t xml:space="preserve"> tätig werden zu können, ist die Mitgliedschaft in einer Bilanzgruppe Voraussetzung, womit die Netzbenutzung für die physikalische Lieferung </w:t>
      </w:r>
      <w:r w:rsidR="0004431D">
        <w:t xml:space="preserve">Ihrer </w:t>
      </w:r>
      <w:r>
        <w:t>Großhandels- und/oder Endkundenprodukte gewährleistet wird. Jede Bilanzgruppe wird durch einen Bilanzgruppenverantwortlichen (BGV) gegenüber dem Bilanzgruppenkoordinator (Verrechnungsstelle</w:t>
      </w:r>
      <w:r w:rsidR="00FB26D2">
        <w:t xml:space="preserve"> [</w:t>
      </w:r>
      <w:r w:rsidR="00FB26D2" w:rsidRPr="009C15B3">
        <w:t xml:space="preserve">APCS </w:t>
      </w:r>
      <w:r w:rsidR="00FB26D2">
        <w:t xml:space="preserve">Austrian </w:t>
      </w:r>
      <w:r w:rsidR="00FB26D2" w:rsidRPr="009C15B3">
        <w:t>Power Clearing and Settlement AG</w:t>
      </w:r>
      <w:r w:rsidR="00FB26D2">
        <w:t>]</w:t>
      </w:r>
      <w:r>
        <w:t xml:space="preserve">) und dem Regelzonenführer </w:t>
      </w:r>
      <w:r w:rsidR="00FB26D2">
        <w:t xml:space="preserve">(APG - </w:t>
      </w:r>
      <w:r w:rsidR="00FB26D2" w:rsidRPr="009C15B3">
        <w:t xml:space="preserve">Austrian Power </w:t>
      </w:r>
      <w:proofErr w:type="spellStart"/>
      <w:r w:rsidR="00FB26D2" w:rsidRPr="009C15B3">
        <w:t>Grid</w:t>
      </w:r>
      <w:proofErr w:type="spellEnd"/>
      <w:r w:rsidR="00FB26D2" w:rsidRPr="009C15B3">
        <w:t xml:space="preserve"> AG</w:t>
      </w:r>
      <w:r w:rsidR="00FB26D2">
        <w:t xml:space="preserve">) </w:t>
      </w:r>
      <w:r>
        <w:t xml:space="preserve">vertreten. </w:t>
      </w:r>
    </w:p>
    <w:p w14:paraId="13E8E002" w14:textId="77777777" w:rsidR="0000091E" w:rsidRDefault="0000091E" w:rsidP="0000091E">
      <w:r>
        <w:t xml:space="preserve">Grundsätzlich haben Stromhändler und Lieferanten zwei Möglichkeiten, am Bilanzgruppensystem teilzunehmen: </w:t>
      </w:r>
    </w:p>
    <w:p w14:paraId="67E65D6E" w14:textId="77777777" w:rsidR="004A516F" w:rsidRDefault="004A516F" w:rsidP="0000091E"/>
    <w:p w14:paraId="0B9B215A" w14:textId="77777777" w:rsidR="0000091E" w:rsidRDefault="0000091E" w:rsidP="0000091E">
      <w:pPr>
        <w:ind w:left="708"/>
      </w:pPr>
      <w:r w:rsidRPr="00273FF4">
        <w:rPr>
          <w:b/>
        </w:rPr>
        <w:t>Variante I:</w:t>
      </w:r>
      <w:r>
        <w:t xml:space="preserve"> Zulassung als Bilanzgruppenverantwortlicher (d.h. eigene Bilanzgruppe bilden)</w:t>
      </w:r>
      <w:r w:rsidRPr="004241EE">
        <w:t xml:space="preserve"> </w:t>
      </w:r>
      <w:r>
        <w:t xml:space="preserve">und Registrierung als </w:t>
      </w:r>
      <w:r w:rsidR="0004431D">
        <w:t>Stromhändler und Lieferant</w:t>
      </w:r>
      <w:r>
        <w:t xml:space="preserve"> und als Bilanzgruppenverantwortlicher</w:t>
      </w:r>
    </w:p>
    <w:p w14:paraId="595B2BBF" w14:textId="77777777" w:rsidR="0000091E" w:rsidRDefault="0000091E" w:rsidP="0000091E">
      <w:pPr>
        <w:ind w:left="708"/>
      </w:pPr>
      <w:r w:rsidRPr="0039701C">
        <w:rPr>
          <w:b/>
        </w:rPr>
        <w:t>Variante I</w:t>
      </w:r>
      <w:r>
        <w:rPr>
          <w:b/>
        </w:rPr>
        <w:t>I</w:t>
      </w:r>
      <w:r w:rsidRPr="0039701C">
        <w:rPr>
          <w:b/>
        </w:rPr>
        <w:t>:</w:t>
      </w:r>
      <w:r>
        <w:rPr>
          <w:b/>
        </w:rPr>
        <w:t xml:space="preserve"> </w:t>
      </w:r>
      <w:r>
        <w:t xml:space="preserve">Registrierung als </w:t>
      </w:r>
      <w:r w:rsidR="0004431D">
        <w:t>Stromhändler und Lieferant</w:t>
      </w:r>
      <w:r>
        <w:t xml:space="preserve"> mit Bilanzgruppenzugehörigkeit zu </w:t>
      </w:r>
      <w:r w:rsidRPr="00907C8A">
        <w:t>eine</w:t>
      </w:r>
      <w:r>
        <w:t xml:space="preserve">r </w:t>
      </w:r>
      <w:r w:rsidRPr="00907C8A">
        <w:t xml:space="preserve">bereits </w:t>
      </w:r>
      <w:r>
        <w:t xml:space="preserve">bestehenden </w:t>
      </w:r>
      <w:r w:rsidRPr="00907C8A">
        <w:t>B</w:t>
      </w:r>
      <w:r>
        <w:t>ilanzgruppe.</w:t>
      </w:r>
    </w:p>
    <w:p w14:paraId="19AA251E" w14:textId="77777777" w:rsidR="009744B5" w:rsidRDefault="009744B5" w:rsidP="004A516F"/>
    <w:p w14:paraId="2F5EA480" w14:textId="7D6261BC" w:rsidR="005273EE" w:rsidRDefault="005273EE" w:rsidP="009744B5">
      <w:pPr>
        <w:rPr>
          <w:rFonts w:eastAsiaTheme="minorHAnsi"/>
          <w:lang w:eastAsia="en-US"/>
        </w:rPr>
      </w:pPr>
      <w:r>
        <w:rPr>
          <w:rFonts w:eastAsiaTheme="minorHAnsi"/>
          <w:lang w:eastAsia="en-US"/>
        </w:rPr>
        <w:t>Die Registrierung und Zulassung als Bilanzgruppenverantwortlicher</w:t>
      </w:r>
      <w:r w:rsidR="00305969">
        <w:rPr>
          <w:rFonts w:eastAsiaTheme="minorHAnsi"/>
          <w:lang w:eastAsia="en-US"/>
        </w:rPr>
        <w:t xml:space="preserve"> (Variante I) </w:t>
      </w:r>
      <w:r>
        <w:rPr>
          <w:rFonts w:eastAsiaTheme="minorHAnsi"/>
          <w:lang w:eastAsia="en-US"/>
        </w:rPr>
        <w:t xml:space="preserve">ist aufwendiger und mit größerem administrativem, technischem und finanziellem Aufwand verbunden, </w:t>
      </w:r>
      <w:r w:rsidR="00C9634E">
        <w:rPr>
          <w:rFonts w:eastAsiaTheme="minorHAnsi"/>
          <w:lang w:eastAsia="en-US"/>
        </w:rPr>
        <w:t>als der</w:t>
      </w:r>
      <w:r>
        <w:rPr>
          <w:rFonts w:eastAsiaTheme="minorHAnsi"/>
          <w:lang w:eastAsia="en-US"/>
        </w:rPr>
        <w:t xml:space="preserve"> Beitritt </w:t>
      </w:r>
      <w:r w:rsidR="00C9634E">
        <w:rPr>
          <w:rFonts w:eastAsiaTheme="minorHAnsi"/>
          <w:lang w:eastAsia="en-US"/>
        </w:rPr>
        <w:t>in die</w:t>
      </w:r>
      <w:r>
        <w:rPr>
          <w:rFonts w:eastAsiaTheme="minorHAnsi"/>
          <w:lang w:eastAsia="en-US"/>
        </w:rPr>
        <w:t xml:space="preserve"> Bilanzgruppe</w:t>
      </w:r>
      <w:r w:rsidR="00C9634E">
        <w:rPr>
          <w:rFonts w:eastAsiaTheme="minorHAnsi"/>
          <w:lang w:eastAsia="en-US"/>
        </w:rPr>
        <w:t xml:space="preserve"> eines bereits bestehenden Bilanzgruppenverantwortlichen</w:t>
      </w:r>
      <w:r>
        <w:rPr>
          <w:rFonts w:eastAsiaTheme="minorHAnsi"/>
          <w:lang w:eastAsia="en-US"/>
        </w:rPr>
        <w:t>.</w:t>
      </w:r>
      <w:r w:rsidR="000255BE">
        <w:rPr>
          <w:rFonts w:eastAsiaTheme="minorHAnsi"/>
          <w:lang w:eastAsia="en-US"/>
        </w:rPr>
        <w:t xml:space="preserve"> </w:t>
      </w:r>
      <w:r w:rsidR="00AC679B">
        <w:t xml:space="preserve">Etwaige Nachteile </w:t>
      </w:r>
      <w:r w:rsidR="00305969">
        <w:t>d</w:t>
      </w:r>
      <w:r w:rsidR="000255BE">
        <w:t xml:space="preserve">er Variante </w:t>
      </w:r>
      <w:r w:rsidR="00305969">
        <w:t xml:space="preserve">II </w:t>
      </w:r>
      <w:r w:rsidR="000255BE">
        <w:t>a</w:t>
      </w:r>
      <w:r w:rsidR="00305969">
        <w:t>us Sicht des Stromhändlers bzw. -l</w:t>
      </w:r>
      <w:r w:rsidR="000255BE">
        <w:t xml:space="preserve">ieferanten sind die geringere Eigenständigkeit und die Tatsache, dass der Bilanzgruppenverantwortliche gewisse Einblicke in Ihre Geschäftstätigkeit als Stromhändler bzw. Lieferant (Bezugswege, Abgabemengen, …) erhält. </w:t>
      </w:r>
      <w:r w:rsidR="000255BE">
        <w:lastRenderedPageBreak/>
        <w:t>Anzumerken ist, dass Stromhändler bzw. -lieferanten keinen Rechtsanspruch auf Mitgliedschaft in einer bestehenden Bilanzgruppe haben.</w:t>
      </w:r>
    </w:p>
    <w:p w14:paraId="5CD9899B" w14:textId="77777777" w:rsidR="005273EE" w:rsidRDefault="005273EE" w:rsidP="009744B5">
      <w:pPr>
        <w:rPr>
          <w:rFonts w:eastAsiaTheme="minorHAnsi"/>
          <w:lang w:eastAsia="en-US"/>
        </w:rPr>
      </w:pPr>
    </w:p>
    <w:p w14:paraId="2080E79C" w14:textId="45FDAE07" w:rsidR="0000091E" w:rsidRPr="005273EE" w:rsidRDefault="0000091E" w:rsidP="0000091E">
      <w:pPr>
        <w:rPr>
          <w:rFonts w:eastAsiaTheme="minorHAnsi"/>
          <w:lang w:eastAsia="en-US"/>
        </w:rPr>
      </w:pPr>
      <w:r>
        <w:rPr>
          <w:rFonts w:eastAsiaTheme="minorHAnsi"/>
          <w:lang w:eastAsia="en-US"/>
        </w:rPr>
        <w:t xml:space="preserve">Möchten Sie sich nicht einer bereits bestehenden Bilanzgruppe anschließen, haben Sie sich </w:t>
      </w:r>
      <w:r w:rsidRPr="00A42167">
        <w:rPr>
          <w:rFonts w:eastAsiaTheme="minorHAnsi"/>
          <w:lang w:eastAsia="en-US"/>
        </w:rPr>
        <w:t xml:space="preserve">sowohl als </w:t>
      </w:r>
      <w:r w:rsidRPr="00E77D4B">
        <w:rPr>
          <w:rFonts w:eastAsiaTheme="minorHAnsi"/>
          <w:lang w:eastAsia="en-US"/>
        </w:rPr>
        <w:t>Bilanzgruppenverantwortlicher</w:t>
      </w:r>
      <w:r w:rsidRPr="00B27237">
        <w:rPr>
          <w:rFonts w:eastAsiaTheme="minorHAnsi"/>
          <w:lang w:eastAsia="en-US"/>
        </w:rPr>
        <w:t xml:space="preserve"> als auch </w:t>
      </w:r>
      <w:r w:rsidR="00EC2130">
        <w:rPr>
          <w:rFonts w:eastAsiaTheme="minorHAnsi"/>
          <w:lang w:eastAsia="en-US"/>
        </w:rPr>
        <w:t xml:space="preserve">ggf. </w:t>
      </w:r>
      <w:r w:rsidRPr="00B27237">
        <w:rPr>
          <w:rFonts w:eastAsiaTheme="minorHAnsi"/>
          <w:lang w:eastAsia="en-US"/>
        </w:rPr>
        <w:t xml:space="preserve">als </w:t>
      </w:r>
      <w:r w:rsidR="0004431D">
        <w:rPr>
          <w:rFonts w:eastAsiaTheme="minorHAnsi"/>
          <w:lang w:eastAsia="en-US"/>
        </w:rPr>
        <w:t>Stromhändler und Lieferant</w:t>
      </w:r>
      <w:r w:rsidRPr="00E77D4B">
        <w:rPr>
          <w:rFonts w:eastAsiaTheme="minorHAnsi"/>
          <w:lang w:eastAsia="en-US"/>
        </w:rPr>
        <w:t xml:space="preserve"> bei der</w:t>
      </w:r>
      <w:r>
        <w:rPr>
          <w:rFonts w:eastAsiaTheme="minorHAnsi"/>
          <w:lang w:eastAsia="en-US"/>
        </w:rPr>
        <w:t xml:space="preserve"> Verrechnungsstelle </w:t>
      </w:r>
      <w:r w:rsidR="00FB26D2">
        <w:rPr>
          <w:rFonts w:eastAsiaTheme="minorHAnsi"/>
          <w:lang w:eastAsia="en-US"/>
        </w:rPr>
        <w:t xml:space="preserve">(APCS) </w:t>
      </w:r>
      <w:r>
        <w:rPr>
          <w:rFonts w:eastAsiaTheme="minorHAnsi"/>
          <w:lang w:eastAsia="en-US"/>
        </w:rPr>
        <w:t>zu registrieren. Zudem müssen Sie eine Zulassung durch die Regulierungsbehörde als Bilanzg</w:t>
      </w:r>
      <w:r w:rsidR="0004431D">
        <w:rPr>
          <w:rFonts w:eastAsiaTheme="minorHAnsi"/>
          <w:lang w:eastAsia="en-US"/>
        </w:rPr>
        <w:t xml:space="preserve">ruppenverantwortlicher </w:t>
      </w:r>
      <w:r w:rsidR="00A3497D">
        <w:rPr>
          <w:rFonts w:eastAsiaTheme="minorHAnsi"/>
          <w:lang w:eastAsia="en-US"/>
        </w:rPr>
        <w:t>gemäß</w:t>
      </w:r>
      <w:r w:rsidR="0004431D">
        <w:rPr>
          <w:rFonts w:eastAsiaTheme="minorHAnsi"/>
          <w:lang w:eastAsia="en-US"/>
        </w:rPr>
        <w:t xml:space="preserve"> </w:t>
      </w:r>
      <w:hyperlink r:id="rId15" w:history="1">
        <w:r w:rsidR="0004431D" w:rsidRPr="005273EE">
          <w:rPr>
            <w:rStyle w:val="Hyperlink"/>
            <w:rFonts w:eastAsiaTheme="minorHAnsi"/>
            <w:lang w:eastAsia="en-US"/>
          </w:rPr>
          <w:t>§ 86</w:t>
        </w:r>
        <w:r w:rsidRPr="005273EE">
          <w:rPr>
            <w:rStyle w:val="Hyperlink"/>
            <w:rFonts w:eastAsiaTheme="minorHAnsi"/>
            <w:lang w:eastAsia="en-US"/>
          </w:rPr>
          <w:t xml:space="preserve"> Abs. 5 </w:t>
        </w:r>
        <w:proofErr w:type="spellStart"/>
        <w:r w:rsidRPr="005273EE">
          <w:rPr>
            <w:rStyle w:val="Hyperlink"/>
            <w:rFonts w:eastAsiaTheme="minorHAnsi"/>
            <w:lang w:eastAsia="en-US"/>
          </w:rPr>
          <w:t>ElWOG</w:t>
        </w:r>
        <w:proofErr w:type="spellEnd"/>
        <w:r w:rsidRPr="005273EE">
          <w:rPr>
            <w:rStyle w:val="Hyperlink"/>
            <w:rFonts w:eastAsiaTheme="minorHAnsi"/>
            <w:lang w:eastAsia="en-US"/>
          </w:rPr>
          <w:t xml:space="preserve"> 2010</w:t>
        </w:r>
      </w:hyperlink>
      <w:r>
        <w:rPr>
          <w:rFonts w:eastAsiaTheme="minorHAnsi"/>
          <w:lang w:eastAsia="en-US"/>
        </w:rPr>
        <w:t xml:space="preserve"> </w:t>
      </w:r>
      <w:proofErr w:type="spellStart"/>
      <w:r>
        <w:rPr>
          <w:rFonts w:eastAsiaTheme="minorHAnsi"/>
          <w:lang w:eastAsia="en-US"/>
        </w:rPr>
        <w:t>iVm</w:t>
      </w:r>
      <w:proofErr w:type="spellEnd"/>
      <w:r>
        <w:rPr>
          <w:rFonts w:eastAsiaTheme="minorHAnsi"/>
          <w:lang w:eastAsia="en-US"/>
        </w:rPr>
        <w:t xml:space="preserve"> dem </w:t>
      </w:r>
      <w:r w:rsidRPr="004A516F">
        <w:rPr>
          <w:rFonts w:eastAsiaTheme="minorHAnsi"/>
          <w:lang w:eastAsia="en-US"/>
        </w:rPr>
        <w:t xml:space="preserve">jeweiligen </w:t>
      </w:r>
      <w:hyperlink r:id="rId16" w:history="1">
        <w:r w:rsidR="00BA3E17" w:rsidRPr="003B2644">
          <w:rPr>
            <w:rStyle w:val="Hyperlink"/>
          </w:rPr>
          <w:t>Landesgesetz</w:t>
        </w:r>
      </w:hyperlink>
      <w:r w:rsidR="00BA3E17">
        <w:rPr>
          <w:rStyle w:val="Hyperlink"/>
        </w:rPr>
        <w:t xml:space="preserve"> </w:t>
      </w:r>
      <w:r w:rsidRPr="004A516F">
        <w:rPr>
          <w:rFonts w:eastAsiaTheme="minorHAnsi"/>
          <w:lang w:eastAsia="en-US"/>
        </w:rPr>
        <w:t xml:space="preserve">erlangen. </w:t>
      </w:r>
    </w:p>
    <w:p w14:paraId="0C421F85" w14:textId="77777777" w:rsidR="009744B5" w:rsidRDefault="009744B5" w:rsidP="0000091E"/>
    <w:p w14:paraId="5FBFEE9B" w14:textId="77777777" w:rsidR="0000091E" w:rsidRPr="009A54B4" w:rsidRDefault="0000091E" w:rsidP="0000091E">
      <w:pPr>
        <w:rPr>
          <w:b/>
        </w:rPr>
      </w:pPr>
      <w:r w:rsidRPr="009A54B4">
        <w:rPr>
          <w:b/>
        </w:rPr>
        <w:t>Handlungsanweisung</w:t>
      </w:r>
      <w:r>
        <w:rPr>
          <w:b/>
        </w:rPr>
        <w:t xml:space="preserve"> Variante I</w:t>
      </w:r>
      <w:r w:rsidR="004C1D11">
        <w:rPr>
          <w:b/>
        </w:rPr>
        <w:t xml:space="preserve">: </w:t>
      </w:r>
      <w:r w:rsidR="00C72996" w:rsidRPr="00C72996">
        <w:rPr>
          <w:b/>
        </w:rPr>
        <w:t>Zulassung als Bilanzgruppenverantwortlicher</w:t>
      </w:r>
    </w:p>
    <w:p w14:paraId="6131A079" w14:textId="07C406F4" w:rsidR="0000091E" w:rsidRDefault="0000091E" w:rsidP="004A516F">
      <w:r>
        <w:t xml:space="preserve">Die Regulierungsbehörde erteilt </w:t>
      </w:r>
      <w:r w:rsidRPr="00FD7FCA">
        <w:t xml:space="preserve">die </w:t>
      </w:r>
      <w:r>
        <w:t>Zulassung</w:t>
      </w:r>
      <w:r w:rsidRPr="00FD7FCA">
        <w:t xml:space="preserve"> für die Teilnahme </w:t>
      </w:r>
      <w:r>
        <w:t>als Bilanzgruppenverantwort</w:t>
      </w:r>
      <w:r w:rsidR="00262B95">
        <w:softHyphen/>
      </w:r>
      <w:r>
        <w:t xml:space="preserve">licher </w:t>
      </w:r>
      <w:r w:rsidRPr="00FD7FCA">
        <w:t>am österreichischen Strommarkt</w:t>
      </w:r>
      <w:r>
        <w:t>. Die Genehmigungsvoraus</w:t>
      </w:r>
      <w:r w:rsidR="00453FB2">
        <w:softHyphen/>
      </w:r>
      <w:r>
        <w:t xml:space="preserve">setzungen hängen von den jeweiligen </w:t>
      </w:r>
      <w:hyperlink r:id="rId17" w:history="1">
        <w:r w:rsidRPr="003B2644">
          <w:rPr>
            <w:rStyle w:val="Hyperlink"/>
          </w:rPr>
          <w:t>Landesgesetzen</w:t>
        </w:r>
      </w:hyperlink>
      <w:r>
        <w:t xml:space="preserve"> ab. Beachten Sie daher nicht nur die einschlägigen Bestimmungen im Bundesgesetz gem</w:t>
      </w:r>
      <w:r w:rsidR="00532ADE">
        <w:t>äß</w:t>
      </w:r>
      <w:r>
        <w:t xml:space="preserve"> </w:t>
      </w:r>
      <w:hyperlink r:id="rId18" w:history="1">
        <w:r w:rsidRPr="005273EE">
          <w:rPr>
            <w:rStyle w:val="Hyperlink"/>
          </w:rPr>
          <w:t>§§ 86f ElWOG 2010</w:t>
        </w:r>
      </w:hyperlink>
      <w:r>
        <w:t>, sondern auch die landesgesetzlichen Bestimmungen. Es gibt stellenweise Unterschiede zwischen den Bundesländern. Es empfiehlt sich zudem, mit der Regulierungsbehörde bereits in Vorbereitung zur Antragstellung Kontakt aufzunehmen</w:t>
      </w:r>
      <w:r w:rsidR="008A1136">
        <w:t xml:space="preserve"> unter </w:t>
      </w:r>
      <w:hyperlink r:id="rId19" w:history="1">
        <w:r w:rsidR="00453371" w:rsidRPr="00157EAF">
          <w:rPr>
            <w:rStyle w:val="Hyperlink"/>
          </w:rPr>
          <w:t>bgv@e-control.at</w:t>
        </w:r>
      </w:hyperlink>
      <w:r w:rsidR="008A1136">
        <w:t xml:space="preserve"> oder +43 (0)1 24724 0</w:t>
      </w:r>
      <w:r>
        <w:t>.</w:t>
      </w:r>
    </w:p>
    <w:p w14:paraId="47E63EF0" w14:textId="77777777" w:rsidR="005273EE" w:rsidRPr="00FD7FCA" w:rsidRDefault="005273EE" w:rsidP="004A516F"/>
    <w:p w14:paraId="67095620" w14:textId="7BC583BF" w:rsidR="0000091E" w:rsidRDefault="0000091E" w:rsidP="004A516F">
      <w:pPr>
        <w:rPr>
          <w:rFonts w:eastAsiaTheme="minorHAnsi"/>
          <w:lang w:eastAsia="en-US"/>
        </w:rPr>
      </w:pPr>
      <w:r>
        <w:rPr>
          <w:rFonts w:eastAsiaTheme="minorHAnsi"/>
          <w:lang w:eastAsia="en-US"/>
        </w:rPr>
        <w:t xml:space="preserve">Voraussetzung für die Zulassung als Bilanzgruppenverantwortlicher </w:t>
      </w:r>
      <w:r w:rsidR="00BA7EBC">
        <w:rPr>
          <w:rFonts w:eastAsiaTheme="minorHAnsi"/>
          <w:lang w:eastAsia="en-US"/>
        </w:rPr>
        <w:t>durch die</w:t>
      </w:r>
      <w:r>
        <w:rPr>
          <w:rFonts w:eastAsiaTheme="minorHAnsi"/>
          <w:lang w:eastAsia="en-US"/>
        </w:rPr>
        <w:t xml:space="preserve"> Regulierungsbehörde ist die </w:t>
      </w:r>
      <w:r w:rsidR="000D69FD">
        <w:rPr>
          <w:rFonts w:eastAsiaTheme="minorHAnsi"/>
          <w:lang w:eastAsia="en-US"/>
        </w:rPr>
        <w:t xml:space="preserve">erfolgreiche </w:t>
      </w:r>
      <w:r>
        <w:rPr>
          <w:rFonts w:eastAsiaTheme="minorHAnsi"/>
          <w:lang w:eastAsia="en-US"/>
        </w:rPr>
        <w:t>Registrierung als Bilanzgruppenverantwortlicher</w:t>
      </w:r>
      <w:r w:rsidR="00006869">
        <w:rPr>
          <w:rFonts w:eastAsiaTheme="minorHAnsi"/>
          <w:lang w:eastAsia="en-US"/>
        </w:rPr>
        <w:t xml:space="preserve"> a)</w:t>
      </w:r>
      <w:r>
        <w:rPr>
          <w:rFonts w:eastAsiaTheme="minorHAnsi"/>
          <w:lang w:eastAsia="en-US"/>
        </w:rPr>
        <w:t xml:space="preserve"> beim</w:t>
      </w:r>
      <w:r w:rsidR="00006869">
        <w:rPr>
          <w:rFonts w:eastAsiaTheme="minorHAnsi"/>
          <w:lang w:eastAsia="en-US"/>
        </w:rPr>
        <w:t xml:space="preserve"> Bilanzgruppenkoordinator </w:t>
      </w:r>
      <w:r w:rsidR="00FB26D2">
        <w:rPr>
          <w:rFonts w:eastAsiaTheme="minorHAnsi"/>
          <w:lang w:eastAsia="en-US"/>
        </w:rPr>
        <w:t xml:space="preserve">(APCS) </w:t>
      </w:r>
      <w:r w:rsidR="00006869">
        <w:rPr>
          <w:rFonts w:eastAsiaTheme="minorHAnsi"/>
          <w:lang w:eastAsia="en-US"/>
        </w:rPr>
        <w:t>und b) beim Regelzonenführer</w:t>
      </w:r>
      <w:r w:rsidR="00FB26D2">
        <w:rPr>
          <w:rFonts w:eastAsiaTheme="minorHAnsi"/>
          <w:lang w:eastAsia="en-US"/>
        </w:rPr>
        <w:t xml:space="preserve"> (APG)</w:t>
      </w:r>
      <w:r w:rsidR="00DA7B2A">
        <w:rPr>
          <w:rFonts w:eastAsiaTheme="minorHAnsi"/>
          <w:lang w:eastAsia="en-US"/>
        </w:rPr>
        <w:t>. Mit beiden sollten Sie ebenfalls frühestmöglich</w:t>
      </w:r>
      <w:r w:rsidR="00687CD2">
        <w:rPr>
          <w:rFonts w:eastAsiaTheme="minorHAnsi"/>
          <w:lang w:eastAsia="en-US"/>
        </w:rPr>
        <w:t xml:space="preserve"> im Vorfeld der Registrierung </w:t>
      </w:r>
      <w:r w:rsidR="00DA7B2A">
        <w:rPr>
          <w:rFonts w:eastAsiaTheme="minorHAnsi"/>
          <w:lang w:eastAsia="en-US"/>
        </w:rPr>
        <w:t xml:space="preserve">Kontakt aufnehmen. </w:t>
      </w:r>
    </w:p>
    <w:p w14:paraId="6C39FAC4" w14:textId="77777777" w:rsidR="00C22900" w:rsidRDefault="00C22900" w:rsidP="004A516F">
      <w:pPr>
        <w:rPr>
          <w:rFonts w:eastAsiaTheme="minorHAnsi"/>
          <w:lang w:eastAsia="en-US"/>
        </w:rPr>
      </w:pPr>
    </w:p>
    <w:p w14:paraId="075615B0" w14:textId="77777777" w:rsidR="0000091E" w:rsidRPr="00CD31E3" w:rsidRDefault="0000091E" w:rsidP="004A516F">
      <w:pPr>
        <w:rPr>
          <w:rFonts w:eastAsiaTheme="minorHAnsi"/>
          <w:u w:val="single"/>
          <w:lang w:eastAsia="en-US"/>
        </w:rPr>
      </w:pPr>
      <w:r w:rsidRPr="00CD31E3">
        <w:rPr>
          <w:rFonts w:eastAsiaTheme="minorHAnsi"/>
          <w:u w:val="single"/>
          <w:lang w:eastAsia="en-US"/>
        </w:rPr>
        <w:t>Registrierun</w:t>
      </w:r>
      <w:r w:rsidR="00C22900">
        <w:rPr>
          <w:rFonts w:eastAsiaTheme="minorHAnsi"/>
          <w:u w:val="single"/>
          <w:lang w:eastAsia="en-US"/>
        </w:rPr>
        <w:t>g beim Bilanzgruppenkoordinator</w:t>
      </w:r>
    </w:p>
    <w:p w14:paraId="0C8AA462" w14:textId="424C6F58" w:rsidR="0000091E" w:rsidRDefault="00AE3AF6" w:rsidP="004A516F">
      <w:pPr>
        <w:rPr>
          <w:rFonts w:eastAsiaTheme="minorHAnsi"/>
          <w:lang w:eastAsia="en-US"/>
        </w:rPr>
      </w:pPr>
      <w:r>
        <w:rPr>
          <w:rFonts w:eastAsiaTheme="minorHAnsi"/>
          <w:lang w:eastAsia="en-US"/>
        </w:rPr>
        <w:t>Bilanzgruppenkoordinator im</w:t>
      </w:r>
      <w:r w:rsidR="00687CD2">
        <w:rPr>
          <w:rFonts w:eastAsiaTheme="minorHAnsi"/>
          <w:lang w:eastAsia="en-US"/>
        </w:rPr>
        <w:t xml:space="preserve"> österreichische</w:t>
      </w:r>
      <w:r>
        <w:rPr>
          <w:rFonts w:eastAsiaTheme="minorHAnsi"/>
          <w:lang w:eastAsia="en-US"/>
        </w:rPr>
        <w:t>n</w:t>
      </w:r>
      <w:r w:rsidR="00687CD2">
        <w:rPr>
          <w:rFonts w:eastAsiaTheme="minorHAnsi"/>
          <w:lang w:eastAsia="en-US"/>
        </w:rPr>
        <w:t xml:space="preserve"> Strommarkt</w:t>
      </w:r>
      <w:r>
        <w:rPr>
          <w:rFonts w:eastAsiaTheme="minorHAnsi"/>
          <w:lang w:eastAsia="en-US"/>
        </w:rPr>
        <w:t xml:space="preserve"> </w:t>
      </w:r>
      <w:r w:rsidR="00687CD2">
        <w:rPr>
          <w:rFonts w:eastAsiaTheme="minorHAnsi"/>
          <w:lang w:eastAsia="en-US"/>
        </w:rPr>
        <w:t xml:space="preserve">ist die </w:t>
      </w:r>
      <w:hyperlink r:id="rId20" w:history="1">
        <w:r w:rsidR="00FB26D2" w:rsidRPr="00FB26D2">
          <w:rPr>
            <w:rFonts w:eastAsiaTheme="minorHAnsi"/>
          </w:rPr>
          <w:t xml:space="preserve"> </w:t>
        </w:r>
        <w:r w:rsidR="00FB26D2" w:rsidRPr="00FB26D2">
          <w:rPr>
            <w:rStyle w:val="Hyperlink"/>
            <w:rFonts w:eastAsiaTheme="minorHAnsi"/>
            <w:lang w:eastAsia="en-US"/>
          </w:rPr>
          <w:t xml:space="preserve">APCS </w:t>
        </w:r>
        <w:r w:rsidR="00FB26D2" w:rsidRPr="00FB26D2">
          <w:rPr>
            <w:rStyle w:val="Hyperlink"/>
            <w:lang w:eastAsia="en-US"/>
          </w:rPr>
          <w:t>Power Clearing and Settlement AG</w:t>
        </w:r>
        <w:r w:rsidR="00687CD2" w:rsidRPr="00687CD2">
          <w:rPr>
            <w:rStyle w:val="Hyperlink"/>
            <w:rFonts w:eastAsiaTheme="minorHAnsi"/>
            <w:lang w:eastAsia="en-US"/>
          </w:rPr>
          <w:t>.</w:t>
        </w:r>
      </w:hyperlink>
      <w:r w:rsidR="00687CD2">
        <w:rPr>
          <w:rFonts w:eastAsiaTheme="minorHAnsi"/>
          <w:lang w:eastAsia="en-US"/>
        </w:rPr>
        <w:t xml:space="preserve"> </w:t>
      </w:r>
      <w:r w:rsidR="0000091E">
        <w:rPr>
          <w:rFonts w:eastAsiaTheme="minorHAnsi"/>
          <w:lang w:eastAsia="en-US"/>
        </w:rPr>
        <w:t>Dem</w:t>
      </w:r>
      <w:r w:rsidR="0000091E" w:rsidRPr="00EC45BD">
        <w:rPr>
          <w:rFonts w:eastAsiaTheme="minorHAnsi"/>
          <w:lang w:eastAsia="en-US"/>
        </w:rPr>
        <w:t xml:space="preserve"> </w:t>
      </w:r>
      <w:r w:rsidR="0000091E">
        <w:rPr>
          <w:rFonts w:eastAsiaTheme="minorHAnsi"/>
          <w:lang w:eastAsia="en-US"/>
        </w:rPr>
        <w:t>Bilanzgruppenkoordinator sind f</w:t>
      </w:r>
      <w:r w:rsidR="000D69FD">
        <w:rPr>
          <w:rFonts w:eastAsiaTheme="minorHAnsi"/>
          <w:lang w:eastAsia="en-US"/>
        </w:rPr>
        <w:t>ür Ihre</w:t>
      </w:r>
      <w:r w:rsidR="0000091E" w:rsidRPr="00905C55">
        <w:rPr>
          <w:rFonts w:eastAsiaTheme="minorHAnsi"/>
          <w:lang w:eastAsia="en-US"/>
        </w:rPr>
        <w:t xml:space="preserve"> Registrierung als Bilanzgruppenverantwortlicher </w:t>
      </w:r>
      <w:r w:rsidR="0000091E">
        <w:rPr>
          <w:rFonts w:eastAsiaTheme="minorHAnsi"/>
          <w:lang w:eastAsia="en-US"/>
        </w:rPr>
        <w:t xml:space="preserve">im Wesentlichen folgende Unterlagen zu übermitteln: </w:t>
      </w:r>
    </w:p>
    <w:p w14:paraId="3DD0F3DB" w14:textId="77777777" w:rsidR="0000091E" w:rsidRPr="00262B95" w:rsidRDefault="0000091E" w:rsidP="00262B95">
      <w:pPr>
        <w:pStyle w:val="Listenabsatz"/>
        <w:numPr>
          <w:ilvl w:val="0"/>
          <w:numId w:val="16"/>
        </w:numPr>
      </w:pPr>
      <w:r w:rsidRPr="00262B95">
        <w:t>aktueller Firmenbuchauszug</w:t>
      </w:r>
    </w:p>
    <w:p w14:paraId="1427F180" w14:textId="77777777" w:rsidR="0000091E" w:rsidRPr="00262B95" w:rsidRDefault="00360E6F" w:rsidP="00360E6F">
      <w:pPr>
        <w:pStyle w:val="Listenabsatz"/>
        <w:numPr>
          <w:ilvl w:val="0"/>
          <w:numId w:val="16"/>
        </w:numPr>
      </w:pPr>
      <w:r w:rsidRPr="00360E6F">
        <w:t>SEPA-Firmenlastschrift-Mandat</w:t>
      </w:r>
    </w:p>
    <w:p w14:paraId="5B688647" w14:textId="77777777" w:rsidR="0000091E" w:rsidRPr="00262B95" w:rsidRDefault="0000091E" w:rsidP="00262B95">
      <w:pPr>
        <w:pStyle w:val="Listenabsatz"/>
        <w:numPr>
          <w:ilvl w:val="0"/>
          <w:numId w:val="16"/>
        </w:numPr>
      </w:pPr>
      <w:r w:rsidRPr="00262B95">
        <w:t>aktuelle Geschäftsberichte der letzten beiden Geschäftsjahre</w:t>
      </w:r>
    </w:p>
    <w:p w14:paraId="53F43645" w14:textId="77777777" w:rsidR="0000091E" w:rsidRDefault="0000091E" w:rsidP="00262B95">
      <w:pPr>
        <w:pStyle w:val="Listenabsatz"/>
        <w:numPr>
          <w:ilvl w:val="0"/>
          <w:numId w:val="16"/>
        </w:numPr>
      </w:pPr>
      <w:r w:rsidRPr="00262B95">
        <w:t>prognostizierter Jahresenergieumsatz der Bilanzgruppe</w:t>
      </w:r>
    </w:p>
    <w:p w14:paraId="126FF3F7" w14:textId="2FDBB6C5" w:rsidR="00532ADE" w:rsidRPr="00262B95" w:rsidRDefault="00532ADE" w:rsidP="00803B33">
      <w:pPr>
        <w:pStyle w:val="Listenabsatz"/>
        <w:numPr>
          <w:ilvl w:val="0"/>
          <w:numId w:val="16"/>
        </w:numPr>
      </w:pPr>
      <w:r>
        <w:t xml:space="preserve">Sicherheiten </w:t>
      </w:r>
    </w:p>
    <w:p w14:paraId="5AD2E528" w14:textId="77777777" w:rsidR="0000091E" w:rsidRPr="00262B95" w:rsidRDefault="00251722" w:rsidP="00262B95">
      <w:pPr>
        <w:pStyle w:val="Listenabsatz"/>
        <w:numPr>
          <w:ilvl w:val="0"/>
          <w:numId w:val="16"/>
        </w:numPr>
      </w:pPr>
      <w:r>
        <w:t>den Vertrag firmenmäßig gezeichnet und mehrere Formulare</w:t>
      </w:r>
    </w:p>
    <w:p w14:paraId="67AE258B" w14:textId="51F74471" w:rsidR="0000091E" w:rsidRPr="00905C55" w:rsidRDefault="000D69FD" w:rsidP="004A516F">
      <w:pPr>
        <w:rPr>
          <w:rFonts w:eastAsiaTheme="minorHAnsi"/>
          <w:lang w:eastAsia="en-US"/>
        </w:rPr>
      </w:pPr>
      <w:r>
        <w:rPr>
          <w:rFonts w:eastAsiaTheme="minorHAnsi"/>
          <w:lang w:eastAsia="en-US"/>
        </w:rPr>
        <w:t>Der</w:t>
      </w:r>
      <w:r w:rsidR="0000091E">
        <w:rPr>
          <w:rFonts w:eastAsiaTheme="minorHAnsi"/>
          <w:lang w:eastAsia="en-US"/>
        </w:rPr>
        <w:t xml:space="preserve"> Bilanzgruppenkoordinator wird Ihre Antragstellung</w:t>
      </w:r>
      <w:r w:rsidR="0000091E" w:rsidRPr="00905C55">
        <w:rPr>
          <w:rFonts w:eastAsiaTheme="minorHAnsi"/>
          <w:lang w:eastAsia="en-US"/>
        </w:rPr>
        <w:t xml:space="preserve"> auf Vollst</w:t>
      </w:r>
      <w:r>
        <w:rPr>
          <w:rFonts w:eastAsiaTheme="minorHAnsi"/>
          <w:lang w:eastAsia="en-US"/>
        </w:rPr>
        <w:t xml:space="preserve">ändigkeit und formelle Fehler </w:t>
      </w:r>
      <w:r w:rsidR="0000091E" w:rsidRPr="00905C55">
        <w:rPr>
          <w:rFonts w:eastAsiaTheme="minorHAnsi"/>
          <w:lang w:eastAsia="en-US"/>
        </w:rPr>
        <w:t>prüf</w:t>
      </w:r>
      <w:r>
        <w:rPr>
          <w:rFonts w:eastAsiaTheme="minorHAnsi"/>
          <w:lang w:eastAsia="en-US"/>
        </w:rPr>
        <w:t>en</w:t>
      </w:r>
      <w:r w:rsidR="0000091E">
        <w:rPr>
          <w:rFonts w:eastAsiaTheme="minorHAnsi"/>
          <w:lang w:eastAsia="en-US"/>
        </w:rPr>
        <w:t xml:space="preserve"> und</w:t>
      </w:r>
      <w:r>
        <w:rPr>
          <w:rFonts w:eastAsiaTheme="minorHAnsi"/>
          <w:lang w:eastAsia="en-US"/>
        </w:rPr>
        <w:t xml:space="preserve"> </w:t>
      </w:r>
      <w:r w:rsidR="00990ADE">
        <w:rPr>
          <w:rFonts w:eastAsiaTheme="minorHAnsi"/>
          <w:lang w:eastAsia="en-US"/>
        </w:rPr>
        <w:t>S</w:t>
      </w:r>
      <w:r w:rsidR="006C32A8">
        <w:rPr>
          <w:rFonts w:eastAsiaTheme="minorHAnsi"/>
          <w:lang w:eastAsia="en-US"/>
        </w:rPr>
        <w:t xml:space="preserve">ie </w:t>
      </w:r>
      <w:r>
        <w:rPr>
          <w:rFonts w:eastAsiaTheme="minorHAnsi"/>
          <w:lang w:eastAsia="en-US"/>
        </w:rPr>
        <w:t>in sein</w:t>
      </w:r>
      <w:r w:rsidR="006C32A8">
        <w:rPr>
          <w:rFonts w:eastAsiaTheme="minorHAnsi"/>
          <w:lang w:eastAsia="en-US"/>
        </w:rPr>
        <w:t>e</w:t>
      </w:r>
      <w:r>
        <w:rPr>
          <w:rFonts w:eastAsiaTheme="minorHAnsi"/>
          <w:lang w:eastAsia="en-US"/>
        </w:rPr>
        <w:t xml:space="preserve"> Datenbank aufnehmen. Ihre</w:t>
      </w:r>
      <w:r w:rsidR="0000091E">
        <w:rPr>
          <w:rFonts w:eastAsiaTheme="minorHAnsi"/>
          <w:lang w:eastAsia="en-US"/>
        </w:rPr>
        <w:t xml:space="preserve"> </w:t>
      </w:r>
      <w:r w:rsidR="0000091E" w:rsidRPr="00905C55">
        <w:rPr>
          <w:rFonts w:eastAsiaTheme="minorHAnsi"/>
          <w:lang w:eastAsia="en-US"/>
        </w:rPr>
        <w:t xml:space="preserve">Geschäftsberichte sowie der Auszug aus dem Firmenbuch </w:t>
      </w:r>
      <w:r>
        <w:rPr>
          <w:rFonts w:eastAsiaTheme="minorHAnsi"/>
          <w:lang w:eastAsia="en-US"/>
        </w:rPr>
        <w:t>übermittelt er</w:t>
      </w:r>
      <w:r w:rsidR="008A1136">
        <w:rPr>
          <w:rFonts w:eastAsiaTheme="minorHAnsi"/>
          <w:lang w:eastAsia="en-US"/>
        </w:rPr>
        <w:t xml:space="preserve"> </w:t>
      </w:r>
      <w:r w:rsidR="0000091E" w:rsidRPr="00905C55">
        <w:rPr>
          <w:rFonts w:eastAsiaTheme="minorHAnsi"/>
          <w:lang w:eastAsia="en-US"/>
        </w:rPr>
        <w:t xml:space="preserve">an die </w:t>
      </w:r>
      <w:proofErr w:type="spellStart"/>
      <w:r w:rsidR="0000091E" w:rsidRPr="00905C55">
        <w:rPr>
          <w:rFonts w:eastAsiaTheme="minorHAnsi"/>
          <w:lang w:eastAsia="en-US"/>
        </w:rPr>
        <w:t>Oesterreichische</w:t>
      </w:r>
      <w:proofErr w:type="spellEnd"/>
      <w:r w:rsidR="0000091E" w:rsidRPr="00905C55">
        <w:rPr>
          <w:rFonts w:eastAsiaTheme="minorHAnsi"/>
          <w:lang w:eastAsia="en-US"/>
        </w:rPr>
        <w:t xml:space="preserve"> Kontrollbank AG </w:t>
      </w:r>
      <w:r>
        <w:rPr>
          <w:rFonts w:eastAsiaTheme="minorHAnsi"/>
          <w:lang w:eastAsia="en-US"/>
        </w:rPr>
        <w:t>zur Bonitätsprüfung</w:t>
      </w:r>
      <w:r w:rsidR="00532ADE">
        <w:rPr>
          <w:rFonts w:eastAsiaTheme="minorHAnsi"/>
          <w:lang w:eastAsia="en-US"/>
        </w:rPr>
        <w:t xml:space="preserve">, </w:t>
      </w:r>
      <w:r w:rsidR="00532ADE">
        <w:rPr>
          <w:rFonts w:eastAsiaTheme="minorHAnsi"/>
          <w:lang w:eastAsia="en-US"/>
        </w:rPr>
        <w:lastRenderedPageBreak/>
        <w:t xml:space="preserve">welche in weiterer Folge in die </w:t>
      </w:r>
      <w:proofErr w:type="spellStart"/>
      <w:r w:rsidR="00532ADE">
        <w:rPr>
          <w:rFonts w:eastAsiaTheme="minorHAnsi"/>
          <w:lang w:eastAsia="en-US"/>
        </w:rPr>
        <w:t>Sicherheitenberechnung</w:t>
      </w:r>
      <w:proofErr w:type="spellEnd"/>
      <w:r w:rsidR="00532ADE">
        <w:rPr>
          <w:rFonts w:eastAsiaTheme="minorHAnsi"/>
          <w:lang w:eastAsia="en-US"/>
        </w:rPr>
        <w:t xml:space="preserve"> eingeht.</w:t>
      </w:r>
      <w:r w:rsidR="0000091E">
        <w:rPr>
          <w:rFonts w:eastAsiaTheme="minorHAnsi"/>
          <w:lang w:eastAsia="en-US"/>
        </w:rPr>
        <w:t xml:space="preserve"> </w:t>
      </w:r>
      <w:r>
        <w:rPr>
          <w:rFonts w:eastAsiaTheme="minorHAnsi"/>
          <w:lang w:eastAsia="en-US"/>
        </w:rPr>
        <w:t xml:space="preserve">Weiters </w:t>
      </w:r>
      <w:r w:rsidR="0000091E">
        <w:rPr>
          <w:rFonts w:eastAsiaTheme="minorHAnsi"/>
          <w:lang w:eastAsia="en-US"/>
        </w:rPr>
        <w:t>haben</w:t>
      </w:r>
      <w:r w:rsidR="0000091E" w:rsidRPr="00905C55">
        <w:rPr>
          <w:rFonts w:eastAsiaTheme="minorHAnsi"/>
          <w:lang w:eastAsia="en-US"/>
        </w:rPr>
        <w:t xml:space="preserve"> </w:t>
      </w:r>
      <w:r>
        <w:rPr>
          <w:rFonts w:eastAsiaTheme="minorHAnsi"/>
          <w:lang w:eastAsia="en-US"/>
        </w:rPr>
        <w:t>Sie</w:t>
      </w:r>
      <w:r w:rsidR="0000091E">
        <w:rPr>
          <w:rFonts w:eastAsiaTheme="minorHAnsi"/>
          <w:lang w:eastAsia="en-US"/>
        </w:rPr>
        <w:t xml:space="preserve"> den</w:t>
      </w:r>
      <w:r w:rsidR="0000091E" w:rsidRPr="00905C55">
        <w:rPr>
          <w:rFonts w:eastAsiaTheme="minorHAnsi"/>
          <w:lang w:eastAsia="en-US"/>
        </w:rPr>
        <w:t xml:space="preserve"> Nachweis für die Erfüllung der technischen Voraussetzungen </w:t>
      </w:r>
      <w:r>
        <w:rPr>
          <w:rFonts w:eastAsiaTheme="minorHAnsi"/>
          <w:lang w:eastAsia="en-US"/>
        </w:rPr>
        <w:t xml:space="preserve">– in Form von Datentests </w:t>
      </w:r>
      <w:r w:rsidR="00305969">
        <w:rPr>
          <w:rFonts w:eastAsiaTheme="minorHAnsi"/>
          <w:lang w:eastAsia="en-US"/>
        </w:rPr>
        <w:t xml:space="preserve">– </w:t>
      </w:r>
      <w:r w:rsidR="0000091E">
        <w:rPr>
          <w:rFonts w:eastAsiaTheme="minorHAnsi"/>
          <w:lang w:eastAsia="en-US"/>
        </w:rPr>
        <w:t>zu erbringen</w:t>
      </w:r>
      <w:r w:rsidR="0000091E" w:rsidRPr="00905C55">
        <w:rPr>
          <w:rFonts w:eastAsiaTheme="minorHAnsi"/>
          <w:lang w:eastAsia="en-US"/>
        </w:rPr>
        <w:t>.</w:t>
      </w:r>
    </w:p>
    <w:p w14:paraId="1EE3228F" w14:textId="77777777" w:rsidR="0000091E" w:rsidRDefault="0000091E" w:rsidP="004A516F">
      <w:pPr>
        <w:rPr>
          <w:rFonts w:eastAsiaTheme="minorHAnsi"/>
          <w:lang w:eastAsia="en-US"/>
        </w:rPr>
      </w:pPr>
    </w:p>
    <w:p w14:paraId="1B124167" w14:textId="26038C52" w:rsidR="002E0AD7" w:rsidRDefault="00305969" w:rsidP="004A516F">
      <w:pPr>
        <w:rPr>
          <w:rFonts w:eastAsiaTheme="minorHAnsi"/>
          <w:lang w:eastAsia="en-US"/>
        </w:rPr>
      </w:pPr>
      <w:r>
        <w:rPr>
          <w:rFonts w:eastAsiaTheme="minorHAnsi"/>
          <w:lang w:eastAsia="en-US"/>
        </w:rPr>
        <w:t>Antragsformulare</w:t>
      </w:r>
      <w:r w:rsidR="00FC5A91">
        <w:rPr>
          <w:rFonts w:eastAsiaTheme="minorHAnsi"/>
          <w:lang w:eastAsia="en-US"/>
        </w:rPr>
        <w:t xml:space="preserve"> und Details</w:t>
      </w:r>
      <w:r>
        <w:rPr>
          <w:rFonts w:eastAsiaTheme="minorHAnsi"/>
          <w:lang w:eastAsia="en-US"/>
        </w:rPr>
        <w:t xml:space="preserve"> zur </w:t>
      </w:r>
      <w:r w:rsidR="000D69FD">
        <w:rPr>
          <w:rFonts w:eastAsiaTheme="minorHAnsi"/>
          <w:lang w:eastAsia="en-US"/>
        </w:rPr>
        <w:t xml:space="preserve">Registrierung </w:t>
      </w:r>
      <w:r w:rsidR="0000091E">
        <w:rPr>
          <w:rFonts w:eastAsiaTheme="minorHAnsi"/>
          <w:lang w:eastAsia="en-US"/>
        </w:rPr>
        <w:t>finden Sie auf der Webseite des Bilanzgruppen</w:t>
      </w:r>
      <w:r w:rsidR="00687CD2">
        <w:rPr>
          <w:rFonts w:eastAsiaTheme="minorHAnsi"/>
          <w:lang w:eastAsia="en-US"/>
        </w:rPr>
        <w:softHyphen/>
      </w:r>
      <w:r w:rsidR="006C32A8">
        <w:rPr>
          <w:rFonts w:eastAsiaTheme="minorHAnsi"/>
          <w:lang w:eastAsia="en-US"/>
        </w:rPr>
        <w:t>koordinators</w:t>
      </w:r>
      <w:r w:rsidR="0000091E">
        <w:rPr>
          <w:rFonts w:eastAsiaTheme="minorHAnsi"/>
          <w:lang w:eastAsia="en-US"/>
        </w:rPr>
        <w:t xml:space="preserve"> </w:t>
      </w:r>
      <w:r w:rsidR="0000091E" w:rsidRPr="006072F4">
        <w:rPr>
          <w:rFonts w:eastAsiaTheme="minorHAnsi"/>
          <w:lang w:eastAsia="en-US"/>
        </w:rPr>
        <w:t>unter</w:t>
      </w:r>
      <w:r w:rsidR="002E0AD7">
        <w:rPr>
          <w:rFonts w:eastAsiaTheme="minorHAnsi"/>
          <w:lang w:eastAsia="en-US"/>
        </w:rPr>
        <w:t xml:space="preserve"> </w:t>
      </w:r>
      <w:hyperlink r:id="rId21" w:history="1">
        <w:r w:rsidR="002E0AD7" w:rsidRPr="00BC0270">
          <w:rPr>
            <w:rStyle w:val="Hyperlink"/>
            <w:rFonts w:eastAsiaTheme="minorHAnsi"/>
            <w:lang w:eastAsia="en-US"/>
          </w:rPr>
          <w:t>https://www.apcs.at/de/registrierung/bilanzgruppenverantwortlicher</w:t>
        </w:r>
      </w:hyperlink>
      <w:r w:rsidR="00FC5A91">
        <w:rPr>
          <w:rFonts w:eastAsiaTheme="minorHAnsi"/>
          <w:lang w:eastAsia="en-US"/>
        </w:rPr>
        <w:t>.</w:t>
      </w:r>
      <w:r w:rsidR="002E0AD7">
        <w:rPr>
          <w:rFonts w:eastAsiaTheme="minorHAnsi"/>
          <w:lang w:eastAsia="en-US"/>
        </w:rPr>
        <w:t xml:space="preserve"> </w:t>
      </w:r>
    </w:p>
    <w:p w14:paraId="0AB1925B" w14:textId="712AE613" w:rsidR="0000091E" w:rsidRDefault="00FC5A91" w:rsidP="004A516F">
      <w:pPr>
        <w:rPr>
          <w:rFonts w:eastAsiaTheme="minorHAnsi"/>
          <w:lang w:eastAsia="en-US"/>
        </w:rPr>
      </w:pPr>
      <w:r>
        <w:rPr>
          <w:rFonts w:eastAsiaTheme="minorHAnsi"/>
          <w:lang w:eastAsia="en-US"/>
        </w:rPr>
        <w:t xml:space="preserve">Informationen betreffend notwendiger Sicherheiten und </w:t>
      </w:r>
      <w:r w:rsidR="003C63D9">
        <w:rPr>
          <w:rFonts w:eastAsiaTheme="minorHAnsi"/>
          <w:lang w:eastAsia="en-US"/>
        </w:rPr>
        <w:t>Vorgehensweise</w:t>
      </w:r>
      <w:r w:rsidR="00C7382B">
        <w:rPr>
          <w:rFonts w:eastAsiaTheme="minorHAnsi"/>
          <w:lang w:eastAsia="en-US"/>
        </w:rPr>
        <w:t xml:space="preserve"> werden </w:t>
      </w:r>
      <w:r>
        <w:rPr>
          <w:rFonts w:eastAsiaTheme="minorHAnsi"/>
          <w:lang w:eastAsia="en-US"/>
        </w:rPr>
        <w:t xml:space="preserve">in den Allgemeinen Bedingungen des Bilanzgruppenkoordinators </w:t>
      </w:r>
      <w:r w:rsidR="00837191">
        <w:rPr>
          <w:rFonts w:eastAsiaTheme="minorHAnsi"/>
          <w:lang w:eastAsia="en-US"/>
        </w:rPr>
        <w:t>(</w:t>
      </w:r>
      <w:hyperlink r:id="rId22" w:history="1">
        <w:r w:rsidR="00837191" w:rsidRPr="00837191">
          <w:rPr>
            <w:rStyle w:val="Hyperlink"/>
            <w:rFonts w:eastAsiaTheme="minorHAnsi"/>
            <w:lang w:eastAsia="en-US"/>
          </w:rPr>
          <w:t>AB</w:t>
        </w:r>
        <w:r w:rsidR="00837191">
          <w:rPr>
            <w:rStyle w:val="Hyperlink"/>
            <w:rFonts w:eastAsiaTheme="minorHAnsi"/>
            <w:lang w:eastAsia="en-US"/>
          </w:rPr>
          <w:t>-</w:t>
        </w:r>
        <w:r w:rsidR="00837191" w:rsidRPr="00837191">
          <w:rPr>
            <w:rStyle w:val="Hyperlink"/>
            <w:rFonts w:eastAsiaTheme="minorHAnsi"/>
            <w:lang w:eastAsia="en-US"/>
          </w:rPr>
          <w:t>BKO</w:t>
        </w:r>
      </w:hyperlink>
      <w:r w:rsidR="00837191">
        <w:rPr>
          <w:rFonts w:eastAsiaTheme="minorHAnsi"/>
          <w:lang w:eastAsia="en-US"/>
        </w:rPr>
        <w:t xml:space="preserve"> </w:t>
      </w:r>
      <w:r w:rsidR="003C63D9">
        <w:rPr>
          <w:rFonts w:eastAsiaTheme="minorHAnsi"/>
          <w:lang w:eastAsia="en-US"/>
        </w:rPr>
        <w:t>-</w:t>
      </w:r>
      <w:r w:rsidR="00837191">
        <w:rPr>
          <w:rFonts w:eastAsiaTheme="minorHAnsi"/>
          <w:lang w:eastAsia="en-US"/>
        </w:rPr>
        <w:t xml:space="preserve"> Anhang Risikomanagement</w:t>
      </w:r>
      <w:r w:rsidR="00803B33">
        <w:rPr>
          <w:rFonts w:eastAsiaTheme="minorHAnsi"/>
          <w:lang w:eastAsia="en-US"/>
        </w:rPr>
        <w:t>, Sicherheitsleistungen)</w:t>
      </w:r>
      <w:r w:rsidR="00C7382B">
        <w:rPr>
          <w:rFonts w:eastAsiaTheme="minorHAnsi"/>
          <w:lang w:eastAsia="en-US"/>
        </w:rPr>
        <w:t xml:space="preserve"> dargelegt</w:t>
      </w:r>
      <w:r w:rsidR="00837191">
        <w:rPr>
          <w:rFonts w:eastAsiaTheme="minorHAnsi"/>
          <w:lang w:eastAsia="en-US"/>
        </w:rPr>
        <w:t xml:space="preserve">. </w:t>
      </w:r>
      <w:r w:rsidR="0000091E" w:rsidRPr="006072F4">
        <w:rPr>
          <w:rFonts w:eastAsiaTheme="minorHAnsi"/>
          <w:lang w:eastAsia="en-US"/>
        </w:rPr>
        <w:t>Sie können den Bilanzgruppenkoo</w:t>
      </w:r>
      <w:r w:rsidR="00687CD2">
        <w:rPr>
          <w:rFonts w:eastAsiaTheme="minorHAnsi"/>
          <w:lang w:eastAsia="en-US"/>
        </w:rPr>
        <w:t>rdinator auch einfach per E</w:t>
      </w:r>
      <w:r w:rsidR="00BA7EBC">
        <w:rPr>
          <w:rFonts w:eastAsiaTheme="minorHAnsi"/>
          <w:lang w:eastAsia="en-US"/>
        </w:rPr>
        <w:t>-M</w:t>
      </w:r>
      <w:r w:rsidR="00687CD2">
        <w:rPr>
          <w:rFonts w:eastAsiaTheme="minorHAnsi"/>
          <w:lang w:eastAsia="en-US"/>
        </w:rPr>
        <w:t>ail</w:t>
      </w:r>
      <w:r w:rsidR="0000091E" w:rsidRPr="006072F4">
        <w:rPr>
          <w:rFonts w:eastAsiaTheme="minorHAnsi"/>
          <w:lang w:eastAsia="en-US"/>
        </w:rPr>
        <w:t xml:space="preserve"> </w:t>
      </w:r>
      <w:hyperlink r:id="rId23" w:history="1">
        <w:r w:rsidR="0000091E" w:rsidRPr="006072F4">
          <w:rPr>
            <w:rStyle w:val="Hyperlink"/>
            <w:rFonts w:eastAsiaTheme="minorHAnsi"/>
            <w:szCs w:val="22"/>
            <w:lang w:eastAsia="en-US"/>
          </w:rPr>
          <w:t>office@apcs.at</w:t>
        </w:r>
      </w:hyperlink>
      <w:r w:rsidR="0000091E">
        <w:rPr>
          <w:rFonts w:eastAsiaTheme="minorHAnsi"/>
          <w:lang w:eastAsia="en-US"/>
        </w:rPr>
        <w:t xml:space="preserve"> kontaktieren. </w:t>
      </w:r>
      <w:r w:rsidR="0000091E" w:rsidRPr="00E910C3">
        <w:rPr>
          <w:rFonts w:eastAsiaTheme="minorHAnsi"/>
          <w:lang w:eastAsia="en-US"/>
        </w:rPr>
        <w:t>Die dortigen Mitarbeiter unterstützen Sie gerne beim Registrierungsvorgang.</w:t>
      </w:r>
    </w:p>
    <w:p w14:paraId="59486EB2" w14:textId="77777777" w:rsidR="0000091E" w:rsidRDefault="0000091E" w:rsidP="004A516F">
      <w:pPr>
        <w:rPr>
          <w:rFonts w:eastAsiaTheme="minorHAnsi"/>
          <w:lang w:eastAsia="en-US"/>
        </w:rPr>
      </w:pPr>
    </w:p>
    <w:p w14:paraId="4ACB8100" w14:textId="0605FD20" w:rsidR="0000091E" w:rsidRDefault="0000091E" w:rsidP="004A516F">
      <w:pPr>
        <w:rPr>
          <w:rFonts w:eastAsiaTheme="minorHAnsi"/>
          <w:lang w:eastAsia="en-US"/>
        </w:rPr>
      </w:pPr>
      <w:r w:rsidRPr="00905C55">
        <w:rPr>
          <w:rFonts w:eastAsiaTheme="minorHAnsi"/>
          <w:lang w:eastAsia="en-US"/>
        </w:rPr>
        <w:t>Sind alle Voraussetzungen zur Registrierung erfüllt, so bekomm</w:t>
      </w:r>
      <w:r w:rsidR="000D69FD">
        <w:rPr>
          <w:rFonts w:eastAsiaTheme="minorHAnsi"/>
          <w:lang w:eastAsia="en-US"/>
        </w:rPr>
        <w:t>en</w:t>
      </w:r>
      <w:r w:rsidRPr="00905C55">
        <w:rPr>
          <w:rFonts w:eastAsiaTheme="minorHAnsi"/>
          <w:lang w:eastAsia="en-US"/>
        </w:rPr>
        <w:t xml:space="preserve"> </w:t>
      </w:r>
      <w:r>
        <w:rPr>
          <w:rFonts w:eastAsiaTheme="minorHAnsi"/>
          <w:lang w:eastAsia="en-US"/>
        </w:rPr>
        <w:t>Sie als</w:t>
      </w:r>
      <w:r w:rsidRPr="00905C55">
        <w:rPr>
          <w:rFonts w:eastAsiaTheme="minorHAnsi"/>
          <w:lang w:eastAsia="en-US"/>
        </w:rPr>
        <w:t xml:space="preserve"> Bilanzgruppenverant</w:t>
      </w:r>
      <w:r w:rsidR="000D69FD">
        <w:rPr>
          <w:rFonts w:eastAsiaTheme="minorHAnsi"/>
          <w:lang w:eastAsia="en-US"/>
        </w:rPr>
        <w:softHyphen/>
      </w:r>
      <w:r w:rsidRPr="00905C55">
        <w:rPr>
          <w:rFonts w:eastAsiaTheme="minorHAnsi"/>
          <w:lang w:eastAsia="en-US"/>
        </w:rPr>
        <w:t>wortliche</w:t>
      </w:r>
      <w:r>
        <w:rPr>
          <w:rFonts w:eastAsiaTheme="minorHAnsi"/>
          <w:lang w:eastAsia="en-US"/>
        </w:rPr>
        <w:t>r</w:t>
      </w:r>
      <w:r w:rsidRPr="00905C55">
        <w:rPr>
          <w:rFonts w:eastAsiaTheme="minorHAnsi"/>
          <w:lang w:eastAsia="en-US"/>
        </w:rPr>
        <w:t xml:space="preserve"> die „Green Card“ und ein Exemplar des vo</w:t>
      </w:r>
      <w:r w:rsidR="000D69FD">
        <w:rPr>
          <w:rFonts w:eastAsiaTheme="minorHAnsi"/>
          <w:lang w:eastAsia="en-US"/>
        </w:rPr>
        <w:t>m</w:t>
      </w:r>
      <w:r w:rsidRPr="00905C55">
        <w:rPr>
          <w:rFonts w:eastAsiaTheme="minorHAnsi"/>
          <w:lang w:eastAsia="en-US"/>
        </w:rPr>
        <w:t xml:space="preserve"> </w:t>
      </w:r>
      <w:r>
        <w:rPr>
          <w:rFonts w:eastAsiaTheme="minorHAnsi"/>
          <w:lang w:eastAsia="en-US"/>
        </w:rPr>
        <w:t>Bilanzgruppenkoordinator</w:t>
      </w:r>
      <w:r w:rsidRPr="00905C55">
        <w:rPr>
          <w:rFonts w:eastAsiaTheme="minorHAnsi"/>
          <w:lang w:eastAsia="en-US"/>
        </w:rPr>
        <w:t xml:space="preserve"> gegengezeichneten Vertrags zugesandt.</w:t>
      </w:r>
      <w:r w:rsidR="000D69FD">
        <w:rPr>
          <w:rFonts w:eastAsiaTheme="minorHAnsi"/>
          <w:lang w:eastAsia="en-US"/>
        </w:rPr>
        <w:t xml:space="preserve"> </w:t>
      </w:r>
      <w:r>
        <w:rPr>
          <w:rFonts w:eastAsiaTheme="minorHAnsi"/>
          <w:lang w:eastAsia="en-US"/>
        </w:rPr>
        <w:t xml:space="preserve">Der Bilanzgruppenkoordinator stellt </w:t>
      </w:r>
      <w:r w:rsidR="00532ADE">
        <w:rPr>
          <w:rFonts w:eastAsiaTheme="minorHAnsi"/>
          <w:lang w:eastAsia="en-US"/>
        </w:rPr>
        <w:t>im Zuge der Registrierung</w:t>
      </w:r>
      <w:r>
        <w:rPr>
          <w:rFonts w:eastAsiaTheme="minorHAnsi"/>
          <w:lang w:eastAsia="en-US"/>
        </w:rPr>
        <w:t xml:space="preserve"> Ihr</w:t>
      </w:r>
      <w:r w:rsidRPr="00BF4C53">
        <w:rPr>
          <w:rFonts w:eastAsiaTheme="minorHAnsi"/>
          <w:lang w:eastAsia="en-US"/>
        </w:rPr>
        <w:t xml:space="preserve"> </w:t>
      </w:r>
      <w:r>
        <w:rPr>
          <w:rFonts w:eastAsiaTheme="minorHAnsi"/>
          <w:lang w:eastAsia="en-US"/>
        </w:rPr>
        <w:t>D</w:t>
      </w:r>
      <w:r w:rsidRPr="00BF4C53">
        <w:rPr>
          <w:rFonts w:eastAsiaTheme="minorHAnsi"/>
          <w:lang w:eastAsia="en-US"/>
        </w:rPr>
        <w:t>aten</w:t>
      </w:r>
      <w:r>
        <w:rPr>
          <w:rFonts w:eastAsiaTheme="minorHAnsi"/>
          <w:lang w:eastAsia="en-US"/>
        </w:rPr>
        <w:t>blatt</w:t>
      </w:r>
      <w:r w:rsidRPr="00BF4C53">
        <w:rPr>
          <w:rFonts w:eastAsiaTheme="minorHAnsi"/>
          <w:lang w:eastAsia="en-US"/>
        </w:rPr>
        <w:t xml:space="preserve"> </w:t>
      </w:r>
      <w:r>
        <w:rPr>
          <w:rFonts w:eastAsiaTheme="minorHAnsi"/>
          <w:lang w:eastAsia="en-US"/>
        </w:rPr>
        <w:t xml:space="preserve">dem Regelzonenführer </w:t>
      </w:r>
      <w:r w:rsidR="00C9634E" w:rsidRPr="007C3459">
        <w:rPr>
          <w:rFonts w:eastAsiaTheme="minorHAnsi"/>
        </w:rPr>
        <w:t xml:space="preserve">Austrian Power </w:t>
      </w:r>
      <w:proofErr w:type="spellStart"/>
      <w:r w:rsidR="00C9634E" w:rsidRPr="007C3459">
        <w:rPr>
          <w:rFonts w:eastAsiaTheme="minorHAnsi"/>
        </w:rPr>
        <w:t>Grid</w:t>
      </w:r>
      <w:proofErr w:type="spellEnd"/>
      <w:r w:rsidR="00C9634E" w:rsidRPr="007C3459">
        <w:rPr>
          <w:rFonts w:eastAsiaTheme="minorHAnsi"/>
        </w:rPr>
        <w:t xml:space="preserve"> AG</w:t>
      </w:r>
      <w:r w:rsidR="00C9634E" w:rsidRPr="00C9634E">
        <w:rPr>
          <w:rFonts w:eastAsiaTheme="minorHAnsi"/>
          <w:lang w:eastAsia="en-US"/>
        </w:rPr>
        <w:t xml:space="preserve"> </w:t>
      </w:r>
      <w:r>
        <w:rPr>
          <w:rFonts w:eastAsiaTheme="minorHAnsi"/>
          <w:lang w:eastAsia="en-US"/>
        </w:rPr>
        <w:t xml:space="preserve">(APG) </w:t>
      </w:r>
      <w:r w:rsidRPr="00BF4C53">
        <w:rPr>
          <w:rFonts w:eastAsiaTheme="minorHAnsi"/>
          <w:lang w:eastAsia="en-US"/>
        </w:rPr>
        <w:t>zur Verfügung</w:t>
      </w:r>
      <w:r w:rsidR="000D69FD">
        <w:rPr>
          <w:rFonts w:eastAsiaTheme="minorHAnsi"/>
          <w:lang w:eastAsia="en-US"/>
        </w:rPr>
        <w:t>.</w:t>
      </w:r>
    </w:p>
    <w:p w14:paraId="7C20AAC6" w14:textId="77777777" w:rsidR="000D69FD" w:rsidRDefault="000D69FD" w:rsidP="004A516F">
      <w:pPr>
        <w:rPr>
          <w:rFonts w:eastAsiaTheme="minorHAnsi"/>
          <w:lang w:eastAsia="en-US"/>
        </w:rPr>
      </w:pPr>
    </w:p>
    <w:p w14:paraId="0C445C9A" w14:textId="6DD7FAE4" w:rsidR="0000091E" w:rsidRDefault="0000091E" w:rsidP="004A516F">
      <w:pPr>
        <w:rPr>
          <w:rFonts w:eastAsiaTheme="minorHAnsi"/>
          <w:lang w:eastAsia="en-US"/>
        </w:rPr>
      </w:pPr>
      <w:r w:rsidRPr="0018117A">
        <w:rPr>
          <w:rFonts w:eastAsiaTheme="minorHAnsi"/>
          <w:u w:val="single"/>
          <w:lang w:eastAsia="en-US"/>
        </w:rPr>
        <w:t>Registrierung beim Regelzonenführer</w:t>
      </w:r>
      <w:r w:rsidR="00366263">
        <w:rPr>
          <w:rFonts w:eastAsiaTheme="minorHAnsi"/>
          <w:u w:val="single"/>
          <w:lang w:eastAsia="en-US"/>
        </w:rPr>
        <w:t xml:space="preserve"> </w:t>
      </w:r>
      <w:r w:rsidRPr="0018117A">
        <w:rPr>
          <w:rFonts w:eastAsiaTheme="minorHAnsi"/>
          <w:u w:val="single"/>
          <w:lang w:eastAsia="en-US"/>
        </w:rPr>
        <w:t xml:space="preserve"> </w:t>
      </w:r>
    </w:p>
    <w:p w14:paraId="35A13E5D" w14:textId="77777777" w:rsidR="000D69FD" w:rsidRDefault="000D69FD" w:rsidP="000D69FD">
      <w:pPr>
        <w:rPr>
          <w:rFonts w:eastAsiaTheme="minorHAnsi"/>
          <w:lang w:eastAsia="en-US"/>
        </w:rPr>
      </w:pPr>
      <w:r>
        <w:t>S</w:t>
      </w:r>
      <w:r w:rsidRPr="004A516F">
        <w:t>obald der Bilanzgruppenkoordinator Ihr Datenblatt übermittelt hat, können Sie sich für Tes</w:t>
      </w:r>
      <w:r>
        <w:t>ts beim Regelzonenführer</w:t>
      </w:r>
      <w:r w:rsidR="00AE3AF6">
        <w:t xml:space="preserve">, der </w:t>
      </w:r>
      <w:hyperlink r:id="rId24" w:history="1">
        <w:r w:rsidR="00AE3AF6" w:rsidRPr="00AE3AF6">
          <w:rPr>
            <w:rStyle w:val="Hyperlink"/>
          </w:rPr>
          <w:t>APG</w:t>
        </w:r>
      </w:hyperlink>
      <w:r w:rsidR="00AE3AF6">
        <w:t>,</w:t>
      </w:r>
      <w:r>
        <w:t xml:space="preserve"> </w:t>
      </w:r>
      <w:r w:rsidR="00C9634E">
        <w:t xml:space="preserve">unter folgendem </w:t>
      </w:r>
      <w:r w:rsidR="005B66FA" w:rsidRPr="0006040D">
        <w:t>Kontakt: +43 50320 – 53220</w:t>
      </w:r>
      <w:r w:rsidR="00C9634E">
        <w:t xml:space="preserve"> melden</w:t>
      </w:r>
      <w:r>
        <w:t>.</w:t>
      </w:r>
    </w:p>
    <w:p w14:paraId="05E23507" w14:textId="77777777" w:rsidR="0000091E" w:rsidRPr="00BF4C53" w:rsidRDefault="0000091E" w:rsidP="004A516F">
      <w:pPr>
        <w:rPr>
          <w:rFonts w:eastAsiaTheme="minorHAnsi"/>
          <w:lang w:eastAsia="en-US"/>
        </w:rPr>
      </w:pPr>
      <w:r w:rsidRPr="00BF4C53">
        <w:rPr>
          <w:rFonts w:eastAsiaTheme="minorHAnsi"/>
          <w:lang w:eastAsia="en-US"/>
        </w:rPr>
        <w:t>Die</w:t>
      </w:r>
      <w:r w:rsidR="000D69FD">
        <w:rPr>
          <w:rFonts w:eastAsiaTheme="minorHAnsi"/>
          <w:lang w:eastAsia="en-US"/>
        </w:rPr>
        <w:t xml:space="preserve"> </w:t>
      </w:r>
      <w:r w:rsidRPr="00BF4C53">
        <w:rPr>
          <w:rFonts w:eastAsiaTheme="minorHAnsi"/>
          <w:lang w:eastAsia="en-US"/>
        </w:rPr>
        <w:t xml:space="preserve">Anforderungen für eine </w:t>
      </w:r>
      <w:r>
        <w:rPr>
          <w:rFonts w:eastAsiaTheme="minorHAnsi"/>
          <w:lang w:eastAsia="en-US"/>
        </w:rPr>
        <w:t>Registrierung</w:t>
      </w:r>
      <w:r w:rsidR="0006040D">
        <w:rPr>
          <w:rFonts w:eastAsiaTheme="minorHAnsi"/>
          <w:lang w:eastAsia="en-US"/>
        </w:rPr>
        <w:t xml:space="preserve"> </w:t>
      </w:r>
      <w:r w:rsidR="000D69FD">
        <w:rPr>
          <w:rFonts w:eastAsiaTheme="minorHAnsi"/>
          <w:lang w:eastAsia="en-US"/>
        </w:rPr>
        <w:t xml:space="preserve">beim </w:t>
      </w:r>
      <w:r w:rsidR="0006040D">
        <w:rPr>
          <w:rFonts w:eastAsiaTheme="minorHAnsi"/>
          <w:lang w:eastAsia="en-US"/>
        </w:rPr>
        <w:t>Regelzonenführer sind</w:t>
      </w:r>
      <w:r w:rsidRPr="00BF4C53">
        <w:rPr>
          <w:rFonts w:eastAsiaTheme="minorHAnsi"/>
          <w:lang w:eastAsia="en-US"/>
        </w:rPr>
        <w:t>:</w:t>
      </w:r>
    </w:p>
    <w:p w14:paraId="52190CB5" w14:textId="77777777" w:rsidR="0006040D" w:rsidRDefault="0000091E" w:rsidP="0006040D">
      <w:pPr>
        <w:pStyle w:val="Listenabsatz"/>
        <w:numPr>
          <w:ilvl w:val="0"/>
          <w:numId w:val="15"/>
        </w:numPr>
      </w:pPr>
      <w:r w:rsidRPr="004A516F">
        <w:t>ein erfolgreicher Datentest für</w:t>
      </w:r>
      <w:r w:rsidR="0006040D">
        <w:t xml:space="preserve"> den Versand externer Fahrpläne </w:t>
      </w:r>
    </w:p>
    <w:p w14:paraId="26095A51" w14:textId="2FAD1C36" w:rsidR="0000091E" w:rsidRDefault="0006040D" w:rsidP="004A516F">
      <w:pPr>
        <w:pStyle w:val="Listenabsatz"/>
        <w:numPr>
          <w:ilvl w:val="0"/>
          <w:numId w:val="15"/>
        </w:numPr>
      </w:pPr>
      <w:r>
        <w:t xml:space="preserve">Rücksendung </w:t>
      </w:r>
      <w:r w:rsidR="00A74EF3">
        <w:t>des unterzeichneten</w:t>
      </w:r>
      <w:r>
        <w:t xml:space="preserve"> D</w:t>
      </w:r>
      <w:r w:rsidR="0000091E" w:rsidRPr="004A516F">
        <w:t>atenübermittlungsvertrag</w:t>
      </w:r>
      <w:r w:rsidR="00A74EF3">
        <w:t>es</w:t>
      </w:r>
    </w:p>
    <w:p w14:paraId="4FDA91BE" w14:textId="661D2C29" w:rsidR="0000091E" w:rsidRDefault="0006040D" w:rsidP="004A516F">
      <w:pPr>
        <w:rPr>
          <w:rFonts w:eastAsiaTheme="minorHAnsi"/>
          <w:lang w:eastAsia="en-US"/>
        </w:rPr>
      </w:pPr>
      <w:r>
        <w:t xml:space="preserve">Weitere Infos finden Sie unter </w:t>
      </w:r>
      <w:hyperlink r:id="rId25" w:history="1">
        <w:r w:rsidRPr="004F6CA3">
          <w:rPr>
            <w:rStyle w:val="Hyperlink"/>
            <w:rFonts w:eastAsiaTheme="minorHAnsi"/>
            <w:szCs w:val="22"/>
            <w:lang w:eastAsia="en-US"/>
          </w:rPr>
          <w:t>http://www.apg.at/de/markt/strommarkt</w:t>
        </w:r>
      </w:hyperlink>
      <w:r>
        <w:rPr>
          <w:rFonts w:eastAsiaTheme="minorHAnsi"/>
          <w:lang w:eastAsia="en-US"/>
        </w:rPr>
        <w:t xml:space="preserve">. </w:t>
      </w:r>
      <w:r w:rsidR="0000091E">
        <w:rPr>
          <w:rFonts w:eastAsiaTheme="minorHAnsi"/>
          <w:lang w:eastAsia="en-US"/>
        </w:rPr>
        <w:t>Nach erfolgreicher Registrierung beim Regelzonenführer erhalten Sie den gegengezeichneten Datenübermittlungsvertrag.</w:t>
      </w:r>
    </w:p>
    <w:p w14:paraId="0F160855" w14:textId="77777777" w:rsidR="0000091E" w:rsidRDefault="0000091E" w:rsidP="004A516F">
      <w:pPr>
        <w:rPr>
          <w:rFonts w:eastAsiaTheme="minorHAnsi"/>
          <w:lang w:eastAsia="en-US"/>
        </w:rPr>
      </w:pPr>
    </w:p>
    <w:p w14:paraId="5B4A6458" w14:textId="77777777" w:rsidR="0000091E" w:rsidRDefault="0000091E" w:rsidP="004A516F">
      <w:pPr>
        <w:rPr>
          <w:rFonts w:eastAsiaTheme="minorHAnsi"/>
          <w:u w:val="single"/>
          <w:lang w:eastAsia="en-US"/>
        </w:rPr>
      </w:pPr>
      <w:r>
        <w:rPr>
          <w:rFonts w:eastAsiaTheme="minorHAnsi"/>
          <w:u w:val="single"/>
          <w:lang w:eastAsia="en-US"/>
        </w:rPr>
        <w:t>Zulassung bei der Regulierungsbehörde</w:t>
      </w:r>
    </w:p>
    <w:p w14:paraId="4FF8580A" w14:textId="77777777" w:rsidR="0000091E" w:rsidRDefault="0000091E" w:rsidP="004A516F">
      <w:r>
        <w:t>Folgende Unterlagen sind bei der Regulierungsbehörde zur Zulassung zum Bilanzgruppenverant</w:t>
      </w:r>
      <w:r w:rsidR="005B66FA">
        <w:softHyphen/>
      </w:r>
      <w:r>
        <w:t>wortlichen vorzuweisen:</w:t>
      </w:r>
    </w:p>
    <w:p w14:paraId="055649D5" w14:textId="77777777" w:rsidR="00251722" w:rsidRDefault="00251722" w:rsidP="004A516F"/>
    <w:p w14:paraId="5A5B2DD2" w14:textId="78D236EB" w:rsidR="0000091E" w:rsidRDefault="0000091E" w:rsidP="004A516F">
      <w:r>
        <w:t>I</w:t>
      </w:r>
      <w:r w:rsidRPr="00885B58">
        <w:rPr>
          <w:i/>
        </w:rPr>
        <w:t xml:space="preserve">. </w:t>
      </w:r>
      <w:r w:rsidRPr="00775C86">
        <w:t>Vereinbarungen (</w:t>
      </w:r>
      <w:r w:rsidR="00366263">
        <w:t xml:space="preserve">BGV-Vertrag und </w:t>
      </w:r>
      <w:r w:rsidRPr="00775C86">
        <w:t>Datenübermittlungsverträge</w:t>
      </w:r>
      <w:r>
        <w:t>)</w:t>
      </w:r>
    </w:p>
    <w:p w14:paraId="76F9A907" w14:textId="509B00FC" w:rsidR="0000091E" w:rsidRDefault="0000091E" w:rsidP="004A516F">
      <w:pPr>
        <w:ind w:left="709"/>
      </w:pPr>
      <w:r>
        <w:t xml:space="preserve">a) mit dem Bilanzgruppenkoordinator </w:t>
      </w:r>
      <w:r w:rsidR="009E7888">
        <w:t xml:space="preserve">APCS </w:t>
      </w:r>
      <w:r>
        <w:t>und</w:t>
      </w:r>
    </w:p>
    <w:p w14:paraId="62D66648" w14:textId="07B9A00D" w:rsidR="0000091E" w:rsidRDefault="0000091E" w:rsidP="004A516F">
      <w:pPr>
        <w:ind w:left="709"/>
      </w:pPr>
      <w:r>
        <w:t>b) mit dem Regelzonenführer</w:t>
      </w:r>
      <w:r w:rsidR="009E7888">
        <w:t xml:space="preserve"> APG</w:t>
      </w:r>
      <w:r>
        <w:t>,</w:t>
      </w:r>
    </w:p>
    <w:p w14:paraId="561EB1FF" w14:textId="77777777" w:rsidR="0000091E" w:rsidRDefault="0000091E" w:rsidP="004A516F">
      <w:r>
        <w:t>die zur Erfüllung der gesetzlich festgelegten Aufgaben und Verpflichtungen, insbesondere in administrativer und kommerzieller Hinsicht, erforderlich sind.</w:t>
      </w:r>
    </w:p>
    <w:p w14:paraId="729F554E" w14:textId="77777777" w:rsidR="0039318F" w:rsidRDefault="0000091E" w:rsidP="0039318F">
      <w:r>
        <w:lastRenderedPageBreak/>
        <w:t xml:space="preserve">II. </w:t>
      </w:r>
      <w:r w:rsidR="0039318F" w:rsidRPr="00CC3AA2">
        <w:t xml:space="preserve">Zulassungsantrag (unter </w:t>
      </w:r>
      <w:hyperlink r:id="rId26" w:anchor="p_p_id_56_INSTANCE_10318A20067_" w:history="1">
        <w:r w:rsidR="0039318F" w:rsidRPr="00916512">
          <w:rPr>
            <w:rStyle w:val="Hyperlink"/>
          </w:rPr>
          <w:t>Unterlagen</w:t>
        </w:r>
        <w:r w:rsidR="0039318F">
          <w:rPr>
            <w:rStyle w:val="Hyperlink"/>
          </w:rPr>
          <w:t xml:space="preserve"> &amp; Formulare</w:t>
        </w:r>
      </w:hyperlink>
      <w:r w:rsidR="0039318F">
        <w:t>)</w:t>
      </w:r>
    </w:p>
    <w:p w14:paraId="65989116" w14:textId="77777777" w:rsidR="0000091E" w:rsidRDefault="0039318F" w:rsidP="004A516F">
      <w:r>
        <w:t xml:space="preserve">III. </w:t>
      </w:r>
      <w:r w:rsidR="0000091E">
        <w:t>Aktueller Firmenbuchauszug des Antragstellers (juristische Person) bzw. Nachweis über den Hauptwohnsitz (natürliche Person)</w:t>
      </w:r>
    </w:p>
    <w:p w14:paraId="2902EDA8" w14:textId="69A512A4" w:rsidR="0000091E" w:rsidRDefault="0039318F" w:rsidP="004A516F">
      <w:r>
        <w:t>IV</w:t>
      </w:r>
      <w:r w:rsidR="0000091E">
        <w:t xml:space="preserve">. Nachweise über das Vorliegen bestimmter persönlicher Voraussetzungen sowie über das Nicht-Vorliegen von Ausschlussgründen des Antragstellers sowie – im Falle einer juristischen Person – aller Mitglieder des </w:t>
      </w:r>
      <w:r w:rsidR="002E0AD7">
        <w:t>nach außen vertretungsbefugtem Organ</w:t>
      </w:r>
      <w:r w:rsidR="0000091E">
        <w:t>. Diese Nachweise sind in Form von Erklärungen (</w:t>
      </w:r>
      <w:r>
        <w:t xml:space="preserve">siehe unter </w:t>
      </w:r>
      <w:bookmarkStart w:id="6" w:name="_Hlk23951383"/>
      <w:r w:rsidR="00FB26D2">
        <w:fldChar w:fldCharType="begin"/>
      </w:r>
      <w:r w:rsidR="00FB26D2">
        <w:instrText xml:space="preserve"> HYPERLINK "https://www.e-control.at/recht/marktregeln/sonstige-marktregeln-strom" \l "p_p_id_56_INSTANCE_10318A20067_" </w:instrText>
      </w:r>
      <w:r w:rsidR="00FB26D2">
        <w:fldChar w:fldCharType="separate"/>
      </w:r>
      <w:r w:rsidRPr="000A4D00">
        <w:rPr>
          <w:rStyle w:val="Hyperlink"/>
        </w:rPr>
        <w:t>Unterlagen und Formulare</w:t>
      </w:r>
      <w:r w:rsidR="00FB26D2">
        <w:rPr>
          <w:rStyle w:val="Hyperlink"/>
        </w:rPr>
        <w:fldChar w:fldCharType="end"/>
      </w:r>
      <w:bookmarkEnd w:id="6"/>
      <w:r w:rsidR="0000091E">
        <w:t>) sowie durch Auszüge aus dem Strafregister zu erbringen.</w:t>
      </w:r>
    </w:p>
    <w:p w14:paraId="706418C0" w14:textId="7CC90C78" w:rsidR="006072F4" w:rsidRDefault="006072F4" w:rsidP="004A516F">
      <w:r>
        <w:t>V</w:t>
      </w:r>
      <w:r w:rsidR="0000091E">
        <w:t xml:space="preserve">. Nachweise über </w:t>
      </w:r>
      <w:r w:rsidR="0000091E" w:rsidRPr="006D57B0">
        <w:t>die fachliche Eignung zumindest</w:t>
      </w:r>
      <w:r w:rsidR="0000091E">
        <w:t xml:space="preserve"> eines Mitgliedes des </w:t>
      </w:r>
      <w:r w:rsidR="002E0AD7">
        <w:t>nach außen vertretungsbefugtem Organ</w:t>
      </w:r>
      <w:r w:rsidR="0000091E">
        <w:t xml:space="preserve">, eines persönlich haftenden Gesellschafters oder eines leitenden Mitarbeiters. </w:t>
      </w:r>
      <w:r w:rsidR="0000091E" w:rsidRPr="000A3024">
        <w:t>Die fachliche Eignung ist gegeben, wenn im ausreichenden Maße theoretische und praktische Kenntnisse in der Abwicklung von Stromgeschäften oder einer leitenden Tätigkeit auf dem Gebiet der Elektrizitätswirtschaft, insbesondere im Stromhandel, in der Stromerzeugung oder im Betrieb eines Netzes, vorliegen.</w:t>
      </w:r>
      <w:r w:rsidR="0000091E">
        <w:t xml:space="preserve"> Dafür sind ausführliche Lebensläufe und gegebenenfalls Zeugnisse </w:t>
      </w:r>
      <w:proofErr w:type="spellStart"/>
      <w:r w:rsidR="0000091E">
        <w:t>u.ä.</w:t>
      </w:r>
      <w:proofErr w:type="spellEnd"/>
      <w:r w:rsidR="0000091E">
        <w:t xml:space="preserve"> vorzulegen.</w:t>
      </w:r>
    </w:p>
    <w:p w14:paraId="4B166BF8" w14:textId="77777777" w:rsidR="0000091E" w:rsidRDefault="0000091E" w:rsidP="004A516F">
      <w:r>
        <w:t>V</w:t>
      </w:r>
      <w:r w:rsidR="00632F17">
        <w:t>I</w:t>
      </w:r>
      <w:r>
        <w:t xml:space="preserve">. Nachweis, dass der Bilanzgruppenverantwortliche für die Ausübung seiner Tätigkeit als Bilanzgruppenverantwortlicher über das </w:t>
      </w:r>
      <w:r w:rsidRPr="006D57B0">
        <w:t>entsprechende Haftungskapital (mindestens</w:t>
      </w:r>
      <w:r w:rsidRPr="00B44A73">
        <w:t xml:space="preserve"> </w:t>
      </w:r>
      <w:r w:rsidR="00BD5EB6">
        <w:t xml:space="preserve">EUR </w:t>
      </w:r>
      <w:r w:rsidRPr="00B44A73">
        <w:t>50</w:t>
      </w:r>
      <w:r w:rsidR="00BD5EB6">
        <w:t>.</w:t>
      </w:r>
      <w:r w:rsidRPr="00B44A73">
        <w:t>000) verfügt, unbeschadet einer auf Grund der Art und des Umfangs der Geschäftstätigkeit allenfalls erforderlichen höheren Kapitalausstattung gemäß der unter I. genannten Vereinbarungen</w:t>
      </w:r>
      <w:r>
        <w:t>. Diese Voraussetzung ist anhand des aktuellen testierten Jahresabschlusses und der Kopie der Garantieerklärung gegenüber der APCS nachzuweisen.</w:t>
      </w:r>
    </w:p>
    <w:p w14:paraId="3638EA6D" w14:textId="77777777" w:rsidR="006072F4" w:rsidRDefault="006072F4" w:rsidP="004A516F"/>
    <w:p w14:paraId="40862F90" w14:textId="6C4138F7" w:rsidR="0000091E" w:rsidRDefault="000B540E" w:rsidP="004A516F">
      <w:r>
        <w:t xml:space="preserve">Wenn </w:t>
      </w:r>
      <w:r w:rsidR="0000091E">
        <w:t>der Antragsteller über keinen Sitz im Inland verfüg</w:t>
      </w:r>
      <w:r>
        <w:t>t</w:t>
      </w:r>
      <w:r w:rsidR="0000091E">
        <w:t>,</w:t>
      </w:r>
      <w:r w:rsidR="0039318F">
        <w:t xml:space="preserve"> hat der Bilanzgruppenverantwortliche</w:t>
      </w:r>
      <w:r w:rsidR="0000091E">
        <w:t xml:space="preserve"> ein</w:t>
      </w:r>
      <w:r w:rsidR="0039318F">
        <w:t>en</w:t>
      </w:r>
      <w:r w:rsidR="0000091E">
        <w:t xml:space="preserve"> Zustellungsbevollmächtigte</w:t>
      </w:r>
      <w:r w:rsidR="0039318F">
        <w:t>n</w:t>
      </w:r>
      <w:r w:rsidR="0000091E">
        <w:t xml:space="preserve"> </w:t>
      </w:r>
      <w:r w:rsidR="006C4676">
        <w:t xml:space="preserve">mit Hauptwohnsitz oder Sitz im Inland </w:t>
      </w:r>
      <w:r w:rsidR="0039318F">
        <w:t xml:space="preserve">zu </w:t>
      </w:r>
      <w:r>
        <w:t>bestell</w:t>
      </w:r>
      <w:r w:rsidR="0039318F">
        <w:t>en</w:t>
      </w:r>
      <w:r w:rsidR="006C4676">
        <w:t>. Der Zustellungsbevollmächtigte ist im Zulassungsantrag zu bezeichnen und muss selbst eine Einverständniserklärung abgeben, die der Antragsteller mit den übrigen Unterlagen übermitteln kann</w:t>
      </w:r>
      <w:r w:rsidR="0000091E">
        <w:t xml:space="preserve"> (</w:t>
      </w:r>
      <w:r w:rsidR="0039318F">
        <w:t xml:space="preserve">siehe unter </w:t>
      </w:r>
      <w:hyperlink r:id="rId27" w:anchor="p_p_id_56_INSTANCE_10318A20067_" w:history="1">
        <w:r w:rsidR="0039318F" w:rsidRPr="000A4D00">
          <w:rPr>
            <w:rStyle w:val="Hyperlink"/>
          </w:rPr>
          <w:t>Unterlagen und Formulare</w:t>
        </w:r>
      </w:hyperlink>
      <w:r w:rsidR="0000091E">
        <w:t>).</w:t>
      </w:r>
    </w:p>
    <w:p w14:paraId="76DB8A97" w14:textId="77777777" w:rsidR="006072F4" w:rsidRDefault="006072F4" w:rsidP="004A516F"/>
    <w:p w14:paraId="5F60B68B" w14:textId="77777777" w:rsidR="006C4676" w:rsidRDefault="006C4676" w:rsidP="006C4676">
      <w:r>
        <w:t xml:space="preserve">Sämtliche Unterlagen und Anfragen sind an die E-Mail-Adresse </w:t>
      </w:r>
      <w:hyperlink r:id="rId28" w:history="1">
        <w:r w:rsidRPr="00C50060">
          <w:rPr>
            <w:rStyle w:val="Hyperlink"/>
          </w:rPr>
          <w:t>bgv@e-control.at</w:t>
        </w:r>
      </w:hyperlink>
      <w:r>
        <w:t xml:space="preserve"> zu richten.</w:t>
      </w:r>
    </w:p>
    <w:p w14:paraId="1C47DDB9" w14:textId="77777777" w:rsidR="006C4676" w:rsidRDefault="006C4676" w:rsidP="004A516F"/>
    <w:p w14:paraId="0C11B2EA" w14:textId="2ECC5645" w:rsidR="0000091E" w:rsidRDefault="0000091E" w:rsidP="004A516F">
      <w:r w:rsidRPr="00633CA5">
        <w:t xml:space="preserve">Nach </w:t>
      </w:r>
      <w:r w:rsidR="0039318F">
        <w:t>positiver Prüfung aller erforderlichen Unterlagen wird am Ende des Zulassungsverfahren</w:t>
      </w:r>
      <w:r w:rsidR="00CD6465">
        <w:t>s</w:t>
      </w:r>
      <w:r w:rsidR="0039318F">
        <w:t xml:space="preserve"> ein </w:t>
      </w:r>
      <w:r w:rsidR="00BD5EB6">
        <w:t>Zulassung</w:t>
      </w:r>
      <w:r w:rsidR="0039318F">
        <w:t>sb</w:t>
      </w:r>
      <w:r w:rsidR="00BD5EB6">
        <w:t xml:space="preserve">escheid </w:t>
      </w:r>
      <w:r>
        <w:t xml:space="preserve">des Vorstands </w:t>
      </w:r>
      <w:r w:rsidRPr="009A54B4">
        <w:t xml:space="preserve">der </w:t>
      </w:r>
      <w:r w:rsidR="0039318F">
        <w:t>Energie-Control Austria erlassen</w:t>
      </w:r>
      <w:r w:rsidR="00AE38DE" w:rsidRPr="00AE38DE">
        <w:t xml:space="preserve"> </w:t>
      </w:r>
      <w:r w:rsidR="00AE38DE">
        <w:t xml:space="preserve">und der </w:t>
      </w:r>
      <w:r>
        <w:t xml:space="preserve">Bilanzgruppenkoordinator und </w:t>
      </w:r>
      <w:r w:rsidR="00AE38DE">
        <w:t xml:space="preserve">der </w:t>
      </w:r>
      <w:r>
        <w:t xml:space="preserve">Regelzonenführer </w:t>
      </w:r>
      <w:r w:rsidR="00366263">
        <w:t xml:space="preserve">über die </w:t>
      </w:r>
      <w:proofErr w:type="spellStart"/>
      <w:r w:rsidR="00366263">
        <w:t>Bescheiderlassung</w:t>
      </w:r>
      <w:proofErr w:type="spellEnd"/>
      <w:r w:rsidR="00366263">
        <w:t xml:space="preserve"> </w:t>
      </w:r>
      <w:r w:rsidR="00AE38DE">
        <w:t xml:space="preserve">in </w:t>
      </w:r>
      <w:r>
        <w:t>Kenntnis ge</w:t>
      </w:r>
      <w:r w:rsidR="00AE38DE">
        <w:t>setzt</w:t>
      </w:r>
      <w:r>
        <w:t xml:space="preserve">. </w:t>
      </w:r>
    </w:p>
    <w:p w14:paraId="1E097109" w14:textId="77777777" w:rsidR="006072F4" w:rsidRDefault="006072F4" w:rsidP="004A516F"/>
    <w:p w14:paraId="6B421852" w14:textId="77777777" w:rsidR="0000091E" w:rsidRDefault="0000091E" w:rsidP="004A516F">
      <w:r w:rsidRPr="00633CA5">
        <w:t xml:space="preserve">Der Markteintritt kann </w:t>
      </w:r>
      <w:r w:rsidR="00533337">
        <w:t>wegen</w:t>
      </w:r>
      <w:r w:rsidR="00E22070">
        <w:t xml:space="preserve"> </w:t>
      </w:r>
      <w:r>
        <w:t>technische</w:t>
      </w:r>
      <w:r w:rsidR="006C4676">
        <w:t>n</w:t>
      </w:r>
      <w:r>
        <w:t xml:space="preserve"> Gründe</w:t>
      </w:r>
      <w:r w:rsidR="006C4676">
        <w:t>n</w:t>
      </w:r>
      <w:r w:rsidR="00533337">
        <w:t xml:space="preserve"> beim</w:t>
      </w:r>
      <w:r w:rsidR="00E22070">
        <w:t xml:space="preserve"> Bilanzgruppenkoordinator APCS</w:t>
      </w:r>
      <w:r>
        <w:t xml:space="preserve"> </w:t>
      </w:r>
      <w:r w:rsidRPr="00633CA5">
        <w:t>jeweils nur zum Monatsersten erfolgen.</w:t>
      </w:r>
    </w:p>
    <w:p w14:paraId="61ABE884" w14:textId="77777777" w:rsidR="006072F4" w:rsidRDefault="006072F4" w:rsidP="004A516F"/>
    <w:tbl>
      <w:tblPr>
        <w:tblW w:w="0" w:type="auto"/>
        <w:tblInd w:w="70" w:type="dxa"/>
        <w:tblLayout w:type="fixed"/>
        <w:tblCellMar>
          <w:left w:w="70" w:type="dxa"/>
          <w:right w:w="70" w:type="dxa"/>
        </w:tblCellMar>
        <w:tblLook w:val="04A0" w:firstRow="1" w:lastRow="0" w:firstColumn="1" w:lastColumn="0" w:noHBand="0" w:noVBand="1"/>
      </w:tblPr>
      <w:tblGrid>
        <w:gridCol w:w="8080"/>
        <w:gridCol w:w="1552"/>
      </w:tblGrid>
      <w:tr w:rsidR="00870170" w:rsidRPr="00EF4434" w14:paraId="395D9A83" w14:textId="77777777" w:rsidTr="00E808A8">
        <w:trPr>
          <w:trHeight w:val="255"/>
        </w:trPr>
        <w:tc>
          <w:tcPr>
            <w:tcW w:w="8080" w:type="dxa"/>
            <w:tcBorders>
              <w:top w:val="nil"/>
              <w:left w:val="nil"/>
              <w:bottom w:val="nil"/>
              <w:right w:val="nil"/>
            </w:tcBorders>
            <w:shd w:val="clear" w:color="000000" w:fill="95B3D7"/>
            <w:noWrap/>
            <w:vAlign w:val="center"/>
            <w:hideMark/>
          </w:tcPr>
          <w:p w14:paraId="1B03EAFE" w14:textId="77777777" w:rsidR="0000091E" w:rsidRPr="00EF4434" w:rsidRDefault="0000091E" w:rsidP="00CF7761">
            <w:pPr>
              <w:pStyle w:val="Listenabsatz"/>
              <w:keepNext/>
              <w:keepLines/>
              <w:spacing w:line="276" w:lineRule="auto"/>
              <w:ind w:left="0"/>
              <w:rPr>
                <w:rFonts w:cs="Arial"/>
                <w:b/>
              </w:rPr>
            </w:pPr>
            <w:r w:rsidRPr="00EF4434">
              <w:rPr>
                <w:rFonts w:cs="Arial"/>
                <w:b/>
              </w:rPr>
              <w:t xml:space="preserve">Checkliste </w:t>
            </w:r>
            <w:r w:rsidR="00036B08">
              <w:rPr>
                <w:rFonts w:cs="Arial"/>
                <w:b/>
              </w:rPr>
              <w:t xml:space="preserve">– </w:t>
            </w:r>
            <w:r w:rsidRPr="00EF4434">
              <w:rPr>
                <w:rFonts w:cs="Arial"/>
                <w:b/>
              </w:rPr>
              <w:t>Zulassung als Bilanzgruppenverantwortlicher</w:t>
            </w:r>
          </w:p>
        </w:tc>
        <w:tc>
          <w:tcPr>
            <w:tcW w:w="1552" w:type="dxa"/>
            <w:tcBorders>
              <w:top w:val="nil"/>
              <w:left w:val="nil"/>
              <w:bottom w:val="nil"/>
              <w:right w:val="nil"/>
            </w:tcBorders>
            <w:shd w:val="clear" w:color="000000" w:fill="95B3D7"/>
            <w:noWrap/>
            <w:vAlign w:val="center"/>
            <w:hideMark/>
          </w:tcPr>
          <w:p w14:paraId="005AE05A" w14:textId="77777777" w:rsidR="0000091E" w:rsidRPr="00EF4434" w:rsidRDefault="0000091E" w:rsidP="00CF7761">
            <w:pPr>
              <w:pStyle w:val="Listenabsatz"/>
              <w:keepNext/>
              <w:keepLines/>
              <w:spacing w:line="276" w:lineRule="auto"/>
              <w:rPr>
                <w:rFonts w:cs="Arial"/>
                <w:b/>
              </w:rPr>
            </w:pPr>
            <w:r w:rsidRPr="00EF4434">
              <w:rPr>
                <w:rFonts w:cs="Arial"/>
                <w:b/>
              </w:rPr>
              <w:t>AT</w:t>
            </w:r>
            <w:r w:rsidR="00DE5C6F">
              <w:rPr>
                <w:rFonts w:cs="Arial"/>
                <w:b/>
              </w:rPr>
              <w:t>*</w:t>
            </w:r>
          </w:p>
        </w:tc>
      </w:tr>
      <w:tr w:rsidR="00870170" w:rsidRPr="00EF4434" w14:paraId="3B328F9D" w14:textId="77777777" w:rsidTr="00E808A8">
        <w:trPr>
          <w:trHeight w:val="255"/>
        </w:trPr>
        <w:tc>
          <w:tcPr>
            <w:tcW w:w="8080" w:type="dxa"/>
            <w:tcBorders>
              <w:top w:val="single" w:sz="4" w:space="0" w:color="FFFFFF"/>
              <w:left w:val="single" w:sz="4" w:space="0" w:color="FFFFFF"/>
              <w:bottom w:val="single" w:sz="4" w:space="0" w:color="FFFFFF"/>
              <w:right w:val="single" w:sz="4" w:space="0" w:color="FFFFFF"/>
            </w:tcBorders>
            <w:shd w:val="clear" w:color="000000" w:fill="BDD1E7"/>
            <w:vAlign w:val="center"/>
            <w:hideMark/>
          </w:tcPr>
          <w:p w14:paraId="56FD67CF" w14:textId="77777777" w:rsidR="0000091E" w:rsidRPr="00EF4434" w:rsidRDefault="005B66FA" w:rsidP="00CF7761">
            <w:pPr>
              <w:pStyle w:val="Listenabsatz"/>
              <w:keepNext/>
              <w:keepLines/>
              <w:spacing w:line="276" w:lineRule="auto"/>
              <w:rPr>
                <w:rFonts w:cs="Arial"/>
              </w:rPr>
            </w:pPr>
            <w:r>
              <w:rPr>
                <w:rFonts w:cs="Arial"/>
              </w:rPr>
              <w:t>Registrierun</w:t>
            </w:r>
            <w:r w:rsidR="00DE5C6F">
              <w:rPr>
                <w:rFonts w:cs="Arial"/>
              </w:rPr>
              <w:t xml:space="preserve">g </w:t>
            </w:r>
            <w:r w:rsidR="00A74EF3">
              <w:rPr>
                <w:rFonts w:cs="Arial"/>
              </w:rPr>
              <w:t xml:space="preserve">bei APCS </w:t>
            </w:r>
            <w:r w:rsidR="009227BA">
              <w:rPr>
                <w:rFonts w:cs="Arial"/>
              </w:rPr>
              <w:t>(</w:t>
            </w:r>
            <w:r w:rsidR="00DE5C6F">
              <w:rPr>
                <w:rFonts w:cs="Arial"/>
              </w:rPr>
              <w:t>inkl.</w:t>
            </w:r>
            <w:r>
              <w:rPr>
                <w:rFonts w:cs="Arial"/>
              </w:rPr>
              <w:t xml:space="preserve"> </w:t>
            </w:r>
            <w:r w:rsidR="00A74EF3">
              <w:rPr>
                <w:rFonts w:cs="Arial"/>
              </w:rPr>
              <w:t>Übermittlung der Unte</w:t>
            </w:r>
            <w:r>
              <w:rPr>
                <w:rFonts w:cs="Arial"/>
              </w:rPr>
              <w:t>rlagen</w:t>
            </w:r>
            <w:r w:rsidR="009227BA">
              <w:rPr>
                <w:rFonts w:cs="Arial"/>
              </w:rPr>
              <w:t>)</w:t>
            </w:r>
            <w:r>
              <w:rPr>
                <w:rFonts w:cs="Arial"/>
              </w:rPr>
              <w:t xml:space="preserve"> </w:t>
            </w:r>
            <w:r w:rsidR="00A74EF3">
              <w:rPr>
                <w:rFonts w:cs="Arial"/>
              </w:rPr>
              <w:t xml:space="preserve">mit </w:t>
            </w:r>
            <w:r>
              <w:rPr>
                <w:rFonts w:cs="Arial"/>
              </w:rPr>
              <w:t xml:space="preserve">Aufnahme in </w:t>
            </w:r>
            <w:r w:rsidR="009227BA">
              <w:rPr>
                <w:rFonts w:cs="Arial"/>
              </w:rPr>
              <w:t>APCS</w:t>
            </w:r>
            <w:r>
              <w:rPr>
                <w:rFonts w:cs="Arial"/>
              </w:rPr>
              <w:t xml:space="preserve"> </w:t>
            </w:r>
            <w:r w:rsidR="0000091E" w:rsidRPr="00EF4434">
              <w:rPr>
                <w:rFonts w:cs="Arial"/>
              </w:rPr>
              <w:t>Datenbank</w:t>
            </w:r>
            <w:r w:rsidR="00A74EF3">
              <w:rPr>
                <w:rFonts w:cs="Arial"/>
              </w:rPr>
              <w:t xml:space="preserve"> </w:t>
            </w:r>
            <w:r w:rsidR="00246291">
              <w:rPr>
                <w:rFonts w:cs="Arial"/>
              </w:rPr>
              <w:t xml:space="preserve">ist </w:t>
            </w:r>
            <w:r w:rsidR="00A74EF3">
              <w:rPr>
                <w:rFonts w:cs="Arial"/>
              </w:rPr>
              <w:t>erfolgt</w:t>
            </w:r>
          </w:p>
        </w:tc>
        <w:tc>
          <w:tcPr>
            <w:tcW w:w="1552" w:type="dxa"/>
            <w:tcBorders>
              <w:top w:val="single" w:sz="4" w:space="0" w:color="FFFFFF"/>
              <w:left w:val="nil"/>
              <w:bottom w:val="single" w:sz="4" w:space="0" w:color="FFFFFF"/>
              <w:right w:val="single" w:sz="4" w:space="0" w:color="FFFFFF"/>
            </w:tcBorders>
            <w:shd w:val="clear" w:color="000000" w:fill="BDD1E7"/>
            <w:noWrap/>
            <w:vAlign w:val="center"/>
            <w:hideMark/>
          </w:tcPr>
          <w:p w14:paraId="52845EB8" w14:textId="77777777" w:rsidR="0000091E" w:rsidRPr="00EF4434" w:rsidRDefault="0000091E" w:rsidP="00CF7761">
            <w:pPr>
              <w:pStyle w:val="Listenabsatz"/>
              <w:keepNext/>
              <w:keepLines/>
              <w:spacing w:line="276" w:lineRule="auto"/>
              <w:rPr>
                <w:rFonts w:cs="Arial"/>
              </w:rPr>
            </w:pPr>
            <w:r w:rsidRPr="00EF4434">
              <w:rPr>
                <w:rFonts w:cs="Arial"/>
              </w:rPr>
              <w:t>1</w:t>
            </w:r>
            <w:r w:rsidR="00DE5C6F">
              <w:rPr>
                <w:rFonts w:cs="Arial"/>
              </w:rPr>
              <w:t>**</w:t>
            </w:r>
          </w:p>
        </w:tc>
      </w:tr>
      <w:tr w:rsidR="00870170" w:rsidRPr="00EF4434" w14:paraId="13C6F8B5" w14:textId="77777777" w:rsidTr="00E808A8">
        <w:trPr>
          <w:trHeight w:val="255"/>
        </w:trPr>
        <w:tc>
          <w:tcPr>
            <w:tcW w:w="8080" w:type="dxa"/>
            <w:tcBorders>
              <w:top w:val="nil"/>
              <w:left w:val="single" w:sz="4" w:space="0" w:color="FFFFFF"/>
              <w:bottom w:val="single" w:sz="4" w:space="0" w:color="FFFFFF"/>
              <w:right w:val="single" w:sz="4" w:space="0" w:color="FFFFFF"/>
            </w:tcBorders>
            <w:shd w:val="clear" w:color="000000" w:fill="DAE6F2"/>
            <w:noWrap/>
            <w:vAlign w:val="center"/>
            <w:hideMark/>
          </w:tcPr>
          <w:p w14:paraId="1DBC3A8D" w14:textId="77777777" w:rsidR="0000091E" w:rsidRPr="00EF4434" w:rsidRDefault="0000091E" w:rsidP="00CF7761">
            <w:pPr>
              <w:pStyle w:val="Listenabsatz"/>
              <w:keepNext/>
              <w:keepLines/>
              <w:spacing w:line="276" w:lineRule="auto"/>
              <w:rPr>
                <w:rFonts w:cs="Arial"/>
              </w:rPr>
            </w:pPr>
            <w:r w:rsidRPr="00EF4434">
              <w:rPr>
                <w:rFonts w:cs="Arial"/>
              </w:rPr>
              <w:t>Bonitätsprüfung durch die OeKB</w:t>
            </w:r>
            <w:r w:rsidR="00A74EF3">
              <w:rPr>
                <w:rFonts w:cs="Arial"/>
              </w:rPr>
              <w:t xml:space="preserve"> </w:t>
            </w:r>
            <w:r w:rsidR="00246291">
              <w:rPr>
                <w:rFonts w:cs="Arial"/>
              </w:rPr>
              <w:t xml:space="preserve">wurde </w:t>
            </w:r>
            <w:r w:rsidR="00A74EF3">
              <w:rPr>
                <w:rFonts w:cs="Arial"/>
              </w:rPr>
              <w:t>vorgenommen</w:t>
            </w:r>
          </w:p>
        </w:tc>
        <w:tc>
          <w:tcPr>
            <w:tcW w:w="1552" w:type="dxa"/>
            <w:tcBorders>
              <w:top w:val="nil"/>
              <w:left w:val="nil"/>
              <w:bottom w:val="single" w:sz="4" w:space="0" w:color="FFFFFF"/>
              <w:right w:val="single" w:sz="4" w:space="0" w:color="FFFFFF"/>
            </w:tcBorders>
            <w:shd w:val="clear" w:color="000000" w:fill="DAE6F2"/>
            <w:noWrap/>
            <w:vAlign w:val="center"/>
            <w:hideMark/>
          </w:tcPr>
          <w:p w14:paraId="591EF5C2" w14:textId="77777777" w:rsidR="0000091E" w:rsidRPr="00EF4434" w:rsidRDefault="0000091E" w:rsidP="00CF7761">
            <w:pPr>
              <w:pStyle w:val="Listenabsatz"/>
              <w:keepNext/>
              <w:keepLines/>
              <w:spacing w:line="276" w:lineRule="auto"/>
              <w:rPr>
                <w:rFonts w:cs="Arial"/>
              </w:rPr>
            </w:pPr>
            <w:r w:rsidRPr="00EF4434">
              <w:rPr>
                <w:rFonts w:cs="Arial"/>
              </w:rPr>
              <w:t>7-14</w:t>
            </w:r>
          </w:p>
        </w:tc>
      </w:tr>
      <w:tr w:rsidR="00870170" w:rsidRPr="00EF4434" w14:paraId="267BFC81" w14:textId="77777777" w:rsidTr="00E808A8">
        <w:trPr>
          <w:trHeight w:val="1528"/>
        </w:trPr>
        <w:tc>
          <w:tcPr>
            <w:tcW w:w="8080" w:type="dxa"/>
            <w:tcBorders>
              <w:top w:val="single" w:sz="4" w:space="0" w:color="FFFFFF"/>
              <w:left w:val="single" w:sz="4" w:space="0" w:color="FFFFFF"/>
              <w:right w:val="single" w:sz="4" w:space="0" w:color="FFFFFF"/>
            </w:tcBorders>
            <w:shd w:val="clear" w:color="000000" w:fill="BDD1E7"/>
            <w:vAlign w:val="center"/>
            <w:hideMark/>
          </w:tcPr>
          <w:p w14:paraId="533FFA70" w14:textId="65FB03EC" w:rsidR="00246291" w:rsidRDefault="00870170" w:rsidP="00CF7761">
            <w:pPr>
              <w:pStyle w:val="Listenabsatz"/>
              <w:keepNext/>
              <w:keepLines/>
              <w:spacing w:line="276" w:lineRule="auto"/>
              <w:rPr>
                <w:rFonts w:cs="Arial"/>
              </w:rPr>
            </w:pPr>
            <w:r>
              <w:rPr>
                <w:rFonts w:cs="Arial"/>
                <w:lang w:val="de-AT"/>
              </w:rPr>
              <w:t>Erhalt</w:t>
            </w:r>
            <w:r w:rsidR="009227BA">
              <w:rPr>
                <w:rFonts w:cs="Arial"/>
              </w:rPr>
              <w:t xml:space="preserve"> </w:t>
            </w:r>
            <w:r w:rsidR="00A74EF3">
              <w:rPr>
                <w:rFonts w:cs="Arial"/>
              </w:rPr>
              <w:t>von</w:t>
            </w:r>
            <w:r w:rsidR="00851390">
              <w:rPr>
                <w:rFonts w:cs="Arial"/>
              </w:rPr>
              <w:t xml:space="preserve"> BGV Vertr</w:t>
            </w:r>
            <w:r w:rsidR="006C5B96">
              <w:rPr>
                <w:rFonts w:cs="Arial"/>
              </w:rPr>
              <w:t>a</w:t>
            </w:r>
            <w:r w:rsidR="009227BA">
              <w:rPr>
                <w:rFonts w:cs="Arial"/>
              </w:rPr>
              <w:t xml:space="preserve">g </w:t>
            </w:r>
            <w:r w:rsidR="00A74EF3">
              <w:rPr>
                <w:rFonts w:cs="Arial"/>
              </w:rPr>
              <w:t>sowie</w:t>
            </w:r>
            <w:r w:rsidR="009227BA">
              <w:rPr>
                <w:rFonts w:cs="Arial"/>
              </w:rPr>
              <w:t xml:space="preserve"> </w:t>
            </w:r>
            <w:r w:rsidR="00632890">
              <w:rPr>
                <w:rFonts w:cs="Arial"/>
              </w:rPr>
              <w:t xml:space="preserve">der </w:t>
            </w:r>
            <w:r w:rsidR="009227BA">
              <w:rPr>
                <w:rFonts w:cs="Arial"/>
              </w:rPr>
              <w:t xml:space="preserve">Infos zu </w:t>
            </w:r>
            <w:r w:rsidR="00632890">
              <w:rPr>
                <w:rFonts w:cs="Arial"/>
              </w:rPr>
              <w:t xml:space="preserve">den zu </w:t>
            </w:r>
            <w:r w:rsidR="009227BA">
              <w:rPr>
                <w:rFonts w:cs="Arial"/>
              </w:rPr>
              <w:t xml:space="preserve">hinterlegenden Sicherheiten, </w:t>
            </w:r>
          </w:p>
          <w:p w14:paraId="58778DDA" w14:textId="47EBA33C" w:rsidR="00246291" w:rsidRDefault="009227BA" w:rsidP="00CF7761">
            <w:pPr>
              <w:pStyle w:val="Listenabsatz"/>
              <w:keepNext/>
              <w:keepLines/>
              <w:spacing w:line="276" w:lineRule="auto"/>
              <w:rPr>
                <w:rFonts w:cs="Arial"/>
              </w:rPr>
            </w:pPr>
            <w:r>
              <w:rPr>
                <w:rFonts w:cs="Arial"/>
              </w:rPr>
              <w:t xml:space="preserve">Rückversand BGV </w:t>
            </w:r>
            <w:r w:rsidRPr="00EF4434">
              <w:rPr>
                <w:rFonts w:cs="Arial"/>
              </w:rPr>
              <w:t>Vertr</w:t>
            </w:r>
            <w:r w:rsidR="006C5B96">
              <w:rPr>
                <w:rFonts w:cs="Arial"/>
              </w:rPr>
              <w:t>a</w:t>
            </w:r>
            <w:r w:rsidRPr="00EF4434">
              <w:rPr>
                <w:rFonts w:cs="Arial"/>
              </w:rPr>
              <w:t>g</w:t>
            </w:r>
            <w:r w:rsidR="00870170">
              <w:rPr>
                <w:rFonts w:cs="Arial"/>
              </w:rPr>
              <w:t xml:space="preserve"> an APCS</w:t>
            </w:r>
            <w:r>
              <w:rPr>
                <w:rFonts w:cs="Arial"/>
              </w:rPr>
              <w:t xml:space="preserve">, </w:t>
            </w:r>
          </w:p>
          <w:p w14:paraId="7D89C500" w14:textId="77777777" w:rsidR="00246291" w:rsidRDefault="009227BA" w:rsidP="00CF7761">
            <w:pPr>
              <w:pStyle w:val="Listenabsatz"/>
              <w:keepNext/>
              <w:keepLines/>
              <w:spacing w:line="276" w:lineRule="auto"/>
              <w:rPr>
                <w:rFonts w:cs="Arial"/>
              </w:rPr>
            </w:pPr>
            <w:r>
              <w:rPr>
                <w:rFonts w:cs="Arial"/>
              </w:rPr>
              <w:t xml:space="preserve">Hinterlegung der Sicherheiten </w:t>
            </w:r>
            <w:r w:rsidR="00870170">
              <w:rPr>
                <w:rFonts w:cs="Arial"/>
              </w:rPr>
              <w:t xml:space="preserve">bei OeKB </w:t>
            </w:r>
            <w:r>
              <w:rPr>
                <w:rFonts w:cs="Arial"/>
              </w:rPr>
              <w:t xml:space="preserve">und </w:t>
            </w:r>
          </w:p>
          <w:p w14:paraId="295784EA" w14:textId="77777777" w:rsidR="009227BA" w:rsidRPr="00EF4434" w:rsidRDefault="009227BA" w:rsidP="00CF7761">
            <w:pPr>
              <w:pStyle w:val="Listenabsatz"/>
              <w:keepNext/>
              <w:keepLines/>
              <w:spacing w:line="276" w:lineRule="auto"/>
              <w:rPr>
                <w:rFonts w:cs="Arial"/>
              </w:rPr>
            </w:pPr>
            <w:r>
              <w:rPr>
                <w:rFonts w:cs="Arial"/>
              </w:rPr>
              <w:t>Ausstellung SEPA-Lastschrift Mandat</w:t>
            </w:r>
            <w:r w:rsidR="00A74EF3">
              <w:rPr>
                <w:rFonts w:cs="Arial"/>
              </w:rPr>
              <w:t xml:space="preserve"> </w:t>
            </w:r>
          </w:p>
        </w:tc>
        <w:tc>
          <w:tcPr>
            <w:tcW w:w="1552" w:type="dxa"/>
            <w:tcBorders>
              <w:top w:val="nil"/>
              <w:left w:val="nil"/>
              <w:right w:val="single" w:sz="4" w:space="0" w:color="FFFFFF"/>
            </w:tcBorders>
            <w:shd w:val="clear" w:color="000000" w:fill="BDD1E7"/>
            <w:noWrap/>
            <w:vAlign w:val="center"/>
            <w:hideMark/>
          </w:tcPr>
          <w:p w14:paraId="1D92DED9" w14:textId="77777777" w:rsidR="009227BA" w:rsidRPr="00EF4434" w:rsidRDefault="009227BA" w:rsidP="00CF7761">
            <w:pPr>
              <w:pStyle w:val="Listenabsatz"/>
              <w:keepNext/>
              <w:keepLines/>
              <w:spacing w:line="276" w:lineRule="auto"/>
              <w:rPr>
                <w:rFonts w:cs="Arial"/>
              </w:rPr>
            </w:pPr>
            <w:r w:rsidRPr="00EF4434">
              <w:rPr>
                <w:rFonts w:cs="Arial"/>
              </w:rPr>
              <w:t>14-21</w:t>
            </w:r>
          </w:p>
        </w:tc>
      </w:tr>
      <w:tr w:rsidR="00870170" w:rsidRPr="00EF4434" w14:paraId="7C858CDB" w14:textId="77777777" w:rsidTr="00E808A8">
        <w:trPr>
          <w:trHeight w:val="255"/>
        </w:trPr>
        <w:tc>
          <w:tcPr>
            <w:tcW w:w="8080" w:type="dxa"/>
            <w:tcBorders>
              <w:top w:val="nil"/>
              <w:left w:val="single" w:sz="4" w:space="0" w:color="FFFFFF"/>
              <w:bottom w:val="single" w:sz="4" w:space="0" w:color="FFFFFF"/>
              <w:right w:val="single" w:sz="4" w:space="0" w:color="FFFFFF"/>
            </w:tcBorders>
            <w:shd w:val="clear" w:color="000000" w:fill="DAE6F2"/>
            <w:noWrap/>
            <w:vAlign w:val="center"/>
            <w:hideMark/>
          </w:tcPr>
          <w:p w14:paraId="7D92BA40" w14:textId="77777777" w:rsidR="0000091E" w:rsidRPr="00EF4434" w:rsidRDefault="00870170" w:rsidP="00CF7761">
            <w:pPr>
              <w:pStyle w:val="Listenabsatz"/>
              <w:keepNext/>
              <w:keepLines/>
              <w:spacing w:line="276" w:lineRule="auto"/>
              <w:rPr>
                <w:rFonts w:cs="Arial"/>
              </w:rPr>
            </w:pPr>
            <w:r>
              <w:rPr>
                <w:rFonts w:cs="Arial"/>
              </w:rPr>
              <w:t xml:space="preserve">Erfüllung </w:t>
            </w:r>
            <w:r w:rsidR="0000091E" w:rsidRPr="00EF4434">
              <w:rPr>
                <w:rFonts w:cs="Arial"/>
              </w:rPr>
              <w:t>Zertifikatsanforderung und Datentest</w:t>
            </w:r>
            <w:r w:rsidR="009227BA">
              <w:rPr>
                <w:rFonts w:cs="Arial"/>
              </w:rPr>
              <w:t xml:space="preserve"> bei APCS</w:t>
            </w:r>
          </w:p>
        </w:tc>
        <w:tc>
          <w:tcPr>
            <w:tcW w:w="1552" w:type="dxa"/>
            <w:tcBorders>
              <w:top w:val="nil"/>
              <w:left w:val="nil"/>
              <w:bottom w:val="single" w:sz="4" w:space="0" w:color="FFFFFF"/>
              <w:right w:val="single" w:sz="4" w:space="0" w:color="FFFFFF"/>
            </w:tcBorders>
            <w:shd w:val="clear" w:color="000000" w:fill="DAE6F2"/>
            <w:noWrap/>
            <w:vAlign w:val="center"/>
            <w:hideMark/>
          </w:tcPr>
          <w:p w14:paraId="01001DD8" w14:textId="77777777" w:rsidR="0000091E" w:rsidRPr="00EF4434" w:rsidRDefault="0000091E" w:rsidP="00CF7761">
            <w:pPr>
              <w:pStyle w:val="Listenabsatz"/>
              <w:keepNext/>
              <w:keepLines/>
              <w:spacing w:line="276" w:lineRule="auto"/>
              <w:rPr>
                <w:rFonts w:cs="Arial"/>
              </w:rPr>
            </w:pPr>
            <w:r w:rsidRPr="00EF4434">
              <w:rPr>
                <w:rFonts w:cs="Arial"/>
              </w:rPr>
              <w:t>1-7</w:t>
            </w:r>
          </w:p>
        </w:tc>
      </w:tr>
      <w:tr w:rsidR="00870170" w:rsidRPr="00EF4434" w14:paraId="48FC184A" w14:textId="77777777" w:rsidTr="00E808A8">
        <w:trPr>
          <w:trHeight w:val="255"/>
        </w:trPr>
        <w:tc>
          <w:tcPr>
            <w:tcW w:w="8080" w:type="dxa"/>
            <w:tcBorders>
              <w:top w:val="single" w:sz="4" w:space="0" w:color="FFFFFF"/>
              <w:left w:val="single" w:sz="4" w:space="0" w:color="FFFFFF"/>
              <w:bottom w:val="single" w:sz="4" w:space="0" w:color="FFFFFF"/>
              <w:right w:val="single" w:sz="4" w:space="0" w:color="FFFFFF"/>
            </w:tcBorders>
            <w:shd w:val="clear" w:color="000000" w:fill="B8CCE4" w:themeFill="accent1" w:themeFillTint="66"/>
            <w:noWrap/>
            <w:vAlign w:val="center"/>
          </w:tcPr>
          <w:p w14:paraId="2A799FE7" w14:textId="77777777" w:rsidR="0000091E" w:rsidRPr="00EF4434" w:rsidRDefault="0000091E" w:rsidP="00CF7761">
            <w:pPr>
              <w:pStyle w:val="Listenabsatz"/>
              <w:keepNext/>
              <w:keepLines/>
              <w:spacing w:line="276" w:lineRule="auto"/>
              <w:rPr>
                <w:rFonts w:cs="Arial"/>
              </w:rPr>
            </w:pPr>
            <w:r w:rsidRPr="00EF4434">
              <w:rPr>
                <w:rFonts w:cs="Arial"/>
              </w:rPr>
              <w:t xml:space="preserve">Abstimmung </w:t>
            </w:r>
            <w:r w:rsidR="009227BA">
              <w:rPr>
                <w:rFonts w:cs="Arial"/>
              </w:rPr>
              <w:t xml:space="preserve">APCS mit </w:t>
            </w:r>
            <w:r w:rsidRPr="00EF4434">
              <w:rPr>
                <w:rFonts w:cs="Arial"/>
              </w:rPr>
              <w:t>OeKB</w:t>
            </w:r>
            <w:r w:rsidR="00156F2F">
              <w:rPr>
                <w:rFonts w:cs="Arial"/>
              </w:rPr>
              <w:t xml:space="preserve"> </w:t>
            </w:r>
            <w:r w:rsidR="00870170">
              <w:rPr>
                <w:rFonts w:cs="Arial"/>
              </w:rPr>
              <w:t>danach Zusendung Green Card und BGV Vertrag</w:t>
            </w:r>
            <w:r w:rsidR="00BC123C">
              <w:rPr>
                <w:rFonts w:cs="Arial"/>
              </w:rPr>
              <w:t>***</w:t>
            </w:r>
          </w:p>
        </w:tc>
        <w:tc>
          <w:tcPr>
            <w:tcW w:w="1552" w:type="dxa"/>
            <w:tcBorders>
              <w:top w:val="single" w:sz="4" w:space="0" w:color="FFFFFF"/>
              <w:left w:val="nil"/>
              <w:bottom w:val="single" w:sz="4" w:space="0" w:color="FFFFFF"/>
              <w:right w:val="single" w:sz="4" w:space="0" w:color="FFFFFF"/>
            </w:tcBorders>
            <w:shd w:val="clear" w:color="000000" w:fill="B8CCE4" w:themeFill="accent1" w:themeFillTint="66"/>
            <w:noWrap/>
            <w:vAlign w:val="center"/>
          </w:tcPr>
          <w:p w14:paraId="16F826FB" w14:textId="77777777" w:rsidR="0000091E" w:rsidRPr="00EF4434" w:rsidRDefault="004C1D11" w:rsidP="00CF7761">
            <w:pPr>
              <w:pStyle w:val="Listenabsatz"/>
              <w:keepNext/>
              <w:keepLines/>
              <w:spacing w:line="276" w:lineRule="auto"/>
              <w:rPr>
                <w:rFonts w:cs="Arial"/>
              </w:rPr>
            </w:pPr>
            <w:proofErr w:type="spellStart"/>
            <w:r>
              <w:rPr>
                <w:rFonts w:cs="Arial"/>
              </w:rPr>
              <w:t>Mind</w:t>
            </w:r>
            <w:proofErr w:type="spellEnd"/>
            <w:r>
              <w:rPr>
                <w:rFonts w:cs="Arial"/>
              </w:rPr>
              <w:t xml:space="preserve"> </w:t>
            </w:r>
            <w:r w:rsidR="00870170">
              <w:rPr>
                <w:rFonts w:cs="Arial"/>
              </w:rPr>
              <w:t>1</w:t>
            </w:r>
          </w:p>
        </w:tc>
      </w:tr>
      <w:tr w:rsidR="00870170" w:rsidRPr="00EF4434" w14:paraId="54023BAA" w14:textId="77777777" w:rsidTr="00E808A8">
        <w:trPr>
          <w:trHeight w:val="255"/>
        </w:trPr>
        <w:tc>
          <w:tcPr>
            <w:tcW w:w="8080" w:type="dxa"/>
            <w:tcBorders>
              <w:top w:val="nil"/>
              <w:left w:val="single" w:sz="4" w:space="0" w:color="FFFFFF"/>
              <w:bottom w:val="single" w:sz="4" w:space="0" w:color="FFFFFF"/>
              <w:right w:val="single" w:sz="4" w:space="0" w:color="FFFFFF"/>
            </w:tcBorders>
            <w:shd w:val="clear" w:color="000000" w:fill="DAE6F2"/>
            <w:noWrap/>
            <w:vAlign w:val="center"/>
          </w:tcPr>
          <w:p w14:paraId="0A3CB610" w14:textId="77777777" w:rsidR="009227BA" w:rsidRPr="00EF4434" w:rsidRDefault="009227BA" w:rsidP="00CF7761">
            <w:pPr>
              <w:pStyle w:val="Listenabsatz"/>
              <w:keepNext/>
              <w:keepLines/>
              <w:spacing w:line="276" w:lineRule="auto"/>
              <w:rPr>
                <w:rFonts w:cs="Arial"/>
              </w:rPr>
            </w:pPr>
            <w:r>
              <w:rPr>
                <w:rFonts w:cs="Arial"/>
              </w:rPr>
              <w:t>Registrierung (inkl</w:t>
            </w:r>
            <w:r w:rsidR="00156F2F">
              <w:rPr>
                <w:rFonts w:cs="Arial"/>
              </w:rPr>
              <w:t>.</w:t>
            </w:r>
            <w:r>
              <w:rPr>
                <w:rFonts w:cs="Arial"/>
              </w:rPr>
              <w:t xml:space="preserve"> Datentests) bei APG</w:t>
            </w:r>
          </w:p>
        </w:tc>
        <w:tc>
          <w:tcPr>
            <w:tcW w:w="1552" w:type="dxa"/>
            <w:tcBorders>
              <w:top w:val="nil"/>
              <w:left w:val="nil"/>
              <w:bottom w:val="single" w:sz="4" w:space="0" w:color="FFFFFF"/>
              <w:right w:val="single" w:sz="4" w:space="0" w:color="FFFFFF"/>
            </w:tcBorders>
            <w:shd w:val="clear" w:color="000000" w:fill="DAE6F2"/>
            <w:noWrap/>
            <w:vAlign w:val="center"/>
          </w:tcPr>
          <w:p w14:paraId="56213BDC" w14:textId="77777777" w:rsidR="009227BA" w:rsidRPr="00EF4434" w:rsidRDefault="009227BA" w:rsidP="00CF7761">
            <w:pPr>
              <w:pStyle w:val="Listenabsatz"/>
              <w:keepNext/>
              <w:keepLines/>
              <w:spacing w:line="276" w:lineRule="auto"/>
              <w:rPr>
                <w:rFonts w:cs="Arial"/>
              </w:rPr>
            </w:pPr>
            <w:r>
              <w:rPr>
                <w:rFonts w:cs="Arial"/>
              </w:rPr>
              <w:t>1-7</w:t>
            </w:r>
          </w:p>
        </w:tc>
      </w:tr>
      <w:tr w:rsidR="00870170" w:rsidRPr="00EF4434" w14:paraId="614489B2" w14:textId="77777777" w:rsidTr="00E808A8">
        <w:trPr>
          <w:trHeight w:val="510"/>
        </w:trPr>
        <w:tc>
          <w:tcPr>
            <w:tcW w:w="8080" w:type="dxa"/>
            <w:tcBorders>
              <w:top w:val="nil"/>
              <w:left w:val="single" w:sz="4" w:space="0" w:color="FFFFFF"/>
              <w:bottom w:val="nil"/>
              <w:right w:val="single" w:sz="4" w:space="0" w:color="FFFFFF"/>
            </w:tcBorders>
            <w:shd w:val="clear" w:color="000000" w:fill="BDD1E7"/>
            <w:vAlign w:val="center"/>
            <w:hideMark/>
          </w:tcPr>
          <w:p w14:paraId="74B7D34E" w14:textId="77777777" w:rsidR="0000091E" w:rsidRPr="00EF4434" w:rsidRDefault="0000091E" w:rsidP="00CF7761">
            <w:pPr>
              <w:pStyle w:val="Listenabsatz"/>
              <w:keepNext/>
              <w:keepLines/>
              <w:spacing w:line="276" w:lineRule="auto"/>
              <w:rPr>
                <w:rFonts w:cs="Arial"/>
              </w:rPr>
            </w:pPr>
            <w:r w:rsidRPr="00EF4434">
              <w:rPr>
                <w:rFonts w:cs="Arial"/>
              </w:rPr>
              <w:t xml:space="preserve">Zulassung </w:t>
            </w:r>
            <w:r w:rsidR="006F72FD">
              <w:rPr>
                <w:rFonts w:cs="Arial"/>
              </w:rPr>
              <w:t xml:space="preserve">durch </w:t>
            </w:r>
            <w:r w:rsidRPr="00EF4434">
              <w:rPr>
                <w:rFonts w:cs="Arial"/>
              </w:rPr>
              <w:t xml:space="preserve">Bescheid </w:t>
            </w:r>
            <w:r w:rsidR="006F72FD" w:rsidRPr="00EF4434">
              <w:rPr>
                <w:rFonts w:cs="Arial"/>
              </w:rPr>
              <w:t>d</w:t>
            </w:r>
            <w:r w:rsidR="006F72FD">
              <w:rPr>
                <w:rFonts w:cs="Arial"/>
              </w:rPr>
              <w:t>er</w:t>
            </w:r>
            <w:r w:rsidR="006F72FD" w:rsidRPr="00EF4434">
              <w:rPr>
                <w:rFonts w:cs="Arial"/>
              </w:rPr>
              <w:t xml:space="preserve"> </w:t>
            </w:r>
            <w:r w:rsidRPr="00EF4434">
              <w:rPr>
                <w:rFonts w:cs="Arial"/>
              </w:rPr>
              <w:t>E-Control (nach vollständiger Freigabe durch APCS und APG</w:t>
            </w:r>
            <w:r w:rsidR="006F72FD">
              <w:rPr>
                <w:rFonts w:cs="Arial"/>
              </w:rPr>
              <w:t xml:space="preserve"> </w:t>
            </w:r>
            <w:r w:rsidR="006F72FD">
              <w:t>und Vorliegen aller erforderlichen Unterlagen</w:t>
            </w:r>
            <w:r w:rsidRPr="00EF4434">
              <w:rPr>
                <w:rFonts w:cs="Arial"/>
              </w:rPr>
              <w:t>)</w:t>
            </w:r>
          </w:p>
        </w:tc>
        <w:tc>
          <w:tcPr>
            <w:tcW w:w="1552" w:type="dxa"/>
            <w:tcBorders>
              <w:top w:val="nil"/>
              <w:left w:val="nil"/>
              <w:bottom w:val="nil"/>
              <w:right w:val="single" w:sz="4" w:space="0" w:color="FFFFFF"/>
            </w:tcBorders>
            <w:shd w:val="clear" w:color="000000" w:fill="BDD1E7"/>
            <w:noWrap/>
            <w:vAlign w:val="center"/>
            <w:hideMark/>
          </w:tcPr>
          <w:p w14:paraId="4B323C6A" w14:textId="77777777" w:rsidR="0000091E" w:rsidRPr="00EF4434" w:rsidRDefault="0000091E" w:rsidP="00CF7761">
            <w:pPr>
              <w:pStyle w:val="Listenabsatz"/>
              <w:keepNext/>
              <w:keepLines/>
              <w:spacing w:line="276" w:lineRule="auto"/>
              <w:rPr>
                <w:rFonts w:cs="Arial"/>
              </w:rPr>
            </w:pPr>
            <w:r w:rsidRPr="00EF4434">
              <w:rPr>
                <w:rFonts w:cs="Arial"/>
              </w:rPr>
              <w:t>14</w:t>
            </w:r>
            <w:r w:rsidR="006F72FD">
              <w:rPr>
                <w:rFonts w:cs="Arial"/>
              </w:rPr>
              <w:t>****</w:t>
            </w:r>
          </w:p>
        </w:tc>
      </w:tr>
      <w:tr w:rsidR="00870170" w:rsidRPr="00EF4434" w14:paraId="0FC210FE" w14:textId="77777777" w:rsidTr="00E808A8">
        <w:trPr>
          <w:trHeight w:val="255"/>
        </w:trPr>
        <w:tc>
          <w:tcPr>
            <w:tcW w:w="8080" w:type="dxa"/>
            <w:tcBorders>
              <w:top w:val="single" w:sz="4" w:space="0" w:color="FFFFFF"/>
              <w:left w:val="single" w:sz="4" w:space="0" w:color="FFFFFF"/>
              <w:bottom w:val="single" w:sz="4" w:space="0" w:color="FFFFFF"/>
              <w:right w:val="single" w:sz="4" w:space="0" w:color="FFFFFF"/>
            </w:tcBorders>
            <w:shd w:val="clear" w:color="000000" w:fill="DAE6F2"/>
            <w:noWrap/>
            <w:vAlign w:val="center"/>
            <w:hideMark/>
          </w:tcPr>
          <w:p w14:paraId="1D634DAE" w14:textId="77777777" w:rsidR="0000091E" w:rsidRPr="00EF4434" w:rsidRDefault="0000091E" w:rsidP="00CF7761">
            <w:pPr>
              <w:pStyle w:val="Listenabsatz"/>
              <w:keepNext/>
              <w:keepLines/>
              <w:spacing w:line="276" w:lineRule="auto"/>
              <w:rPr>
                <w:rFonts w:cs="Arial"/>
              </w:rPr>
            </w:pPr>
            <w:r w:rsidRPr="006072F4">
              <w:rPr>
                <w:rFonts w:cs="Arial"/>
                <w:b/>
              </w:rPr>
              <w:t xml:space="preserve">Durchschnitt Gesamtzeit </w:t>
            </w:r>
            <w:r w:rsidRPr="00EF4434">
              <w:rPr>
                <w:rFonts w:cs="Arial"/>
              </w:rPr>
              <w:t>(ev. kürzer als Summe AT da Prozesse parallel</w:t>
            </w:r>
            <w:r w:rsidR="00BC123C">
              <w:rPr>
                <w:rFonts w:cs="Arial"/>
              </w:rPr>
              <w:t xml:space="preserve"> laufen können</w:t>
            </w:r>
            <w:r w:rsidRPr="00EF4434">
              <w:rPr>
                <w:rFonts w:cs="Arial"/>
              </w:rPr>
              <w:t>)</w:t>
            </w:r>
          </w:p>
        </w:tc>
        <w:tc>
          <w:tcPr>
            <w:tcW w:w="1552" w:type="dxa"/>
            <w:tcBorders>
              <w:top w:val="single" w:sz="4" w:space="0" w:color="FFFFFF"/>
              <w:left w:val="nil"/>
              <w:bottom w:val="single" w:sz="4" w:space="0" w:color="FFFFFF"/>
              <w:right w:val="single" w:sz="4" w:space="0" w:color="FFFFFF"/>
            </w:tcBorders>
            <w:shd w:val="clear" w:color="000000" w:fill="DAE6F2"/>
            <w:noWrap/>
            <w:vAlign w:val="center"/>
            <w:hideMark/>
          </w:tcPr>
          <w:p w14:paraId="05A7C1CA" w14:textId="77777777" w:rsidR="0000091E" w:rsidRPr="006072F4" w:rsidRDefault="00624FB8" w:rsidP="00CF7761">
            <w:pPr>
              <w:pStyle w:val="Listenabsatz"/>
              <w:keepNext/>
              <w:keepLines/>
              <w:spacing w:line="276" w:lineRule="auto"/>
              <w:rPr>
                <w:rFonts w:cs="Arial"/>
                <w:b/>
              </w:rPr>
            </w:pPr>
            <w:r>
              <w:rPr>
                <w:rFonts w:cs="Arial"/>
                <w:b/>
              </w:rPr>
              <w:t>45</w:t>
            </w:r>
          </w:p>
        </w:tc>
      </w:tr>
      <w:tr w:rsidR="00870170" w:rsidRPr="00EF4434" w14:paraId="529120B0" w14:textId="77777777" w:rsidTr="00E808A8">
        <w:trPr>
          <w:trHeight w:val="255"/>
        </w:trPr>
        <w:tc>
          <w:tcPr>
            <w:tcW w:w="8080" w:type="dxa"/>
            <w:tcBorders>
              <w:top w:val="single" w:sz="4" w:space="0" w:color="FFFFFF"/>
              <w:left w:val="single" w:sz="4" w:space="0" w:color="FFFFFF"/>
              <w:bottom w:val="single" w:sz="4" w:space="0" w:color="FFFFFF"/>
              <w:right w:val="single" w:sz="4" w:space="0" w:color="FFFFFF"/>
            </w:tcBorders>
            <w:shd w:val="clear" w:color="000000" w:fill="auto"/>
            <w:noWrap/>
            <w:vAlign w:val="center"/>
          </w:tcPr>
          <w:p w14:paraId="23129301" w14:textId="77777777" w:rsidR="00624FB8" w:rsidRDefault="00624FB8" w:rsidP="00CF7761">
            <w:pPr>
              <w:pStyle w:val="Listenabsatz"/>
              <w:keepNext/>
              <w:keepLines/>
              <w:spacing w:line="276" w:lineRule="auto"/>
              <w:ind w:left="0"/>
              <w:rPr>
                <w:rFonts w:cs="Arial"/>
                <w:sz w:val="16"/>
                <w:szCs w:val="16"/>
              </w:rPr>
            </w:pPr>
            <w:r w:rsidRPr="00EF4434">
              <w:rPr>
                <w:rFonts w:cs="Arial"/>
                <w:sz w:val="16"/>
                <w:szCs w:val="16"/>
              </w:rPr>
              <w:t>*</w:t>
            </w:r>
            <w:r>
              <w:rPr>
                <w:rFonts w:cs="Arial"/>
                <w:sz w:val="16"/>
                <w:szCs w:val="16"/>
              </w:rPr>
              <w:t xml:space="preserve"> AT= Arbeitstage sind </w:t>
            </w:r>
            <w:r w:rsidRPr="00EF4434">
              <w:rPr>
                <w:rFonts w:cs="Arial"/>
                <w:sz w:val="16"/>
                <w:szCs w:val="16"/>
              </w:rPr>
              <w:t>Erfahrungswerte als Orientierungshilfe</w:t>
            </w:r>
          </w:p>
          <w:p w14:paraId="1A9E3FB8" w14:textId="77777777" w:rsidR="00DE5C6F" w:rsidRDefault="00DE5C6F" w:rsidP="00CF7761">
            <w:pPr>
              <w:pStyle w:val="Listenabsatz"/>
              <w:keepNext/>
              <w:keepLines/>
              <w:spacing w:line="276" w:lineRule="auto"/>
              <w:ind w:left="0"/>
              <w:rPr>
                <w:rFonts w:cs="Arial"/>
                <w:sz w:val="16"/>
                <w:szCs w:val="16"/>
              </w:rPr>
            </w:pPr>
            <w:r>
              <w:rPr>
                <w:rFonts w:cs="Arial"/>
                <w:sz w:val="16"/>
                <w:szCs w:val="16"/>
              </w:rPr>
              <w:t xml:space="preserve">** Vorausgesetzt </w:t>
            </w:r>
            <w:r w:rsidRPr="00DE5C6F">
              <w:rPr>
                <w:rFonts w:cs="Arial"/>
                <w:sz w:val="16"/>
                <w:szCs w:val="16"/>
              </w:rPr>
              <w:t xml:space="preserve">die Registrierungsunterlagen </w:t>
            </w:r>
            <w:r>
              <w:rPr>
                <w:rFonts w:cs="Arial"/>
                <w:sz w:val="16"/>
                <w:szCs w:val="16"/>
              </w:rPr>
              <w:t xml:space="preserve">liegen </w:t>
            </w:r>
            <w:r w:rsidRPr="00DE5C6F">
              <w:rPr>
                <w:rFonts w:cs="Arial"/>
                <w:sz w:val="16"/>
                <w:szCs w:val="16"/>
              </w:rPr>
              <w:t>vollständig und r</w:t>
            </w:r>
            <w:r>
              <w:rPr>
                <w:rFonts w:cs="Arial"/>
                <w:sz w:val="16"/>
                <w:szCs w:val="16"/>
              </w:rPr>
              <w:t xml:space="preserve">ichtig ausgefüllt beim BKO </w:t>
            </w:r>
            <w:r w:rsidRPr="00DE5C6F">
              <w:rPr>
                <w:rFonts w:cs="Arial"/>
                <w:sz w:val="16"/>
                <w:szCs w:val="16"/>
              </w:rPr>
              <w:t>vor</w:t>
            </w:r>
          </w:p>
          <w:p w14:paraId="43FF2BB8" w14:textId="77777777" w:rsidR="006F72FD" w:rsidRDefault="00624FB8" w:rsidP="00CF7761">
            <w:pPr>
              <w:pStyle w:val="Listenabsatz"/>
              <w:keepNext/>
              <w:keepLines/>
              <w:spacing w:line="276" w:lineRule="auto"/>
              <w:ind w:left="0"/>
              <w:rPr>
                <w:rFonts w:cs="Arial"/>
                <w:sz w:val="16"/>
                <w:szCs w:val="16"/>
              </w:rPr>
            </w:pPr>
            <w:r>
              <w:rPr>
                <w:rFonts w:cs="Arial"/>
                <w:sz w:val="16"/>
                <w:szCs w:val="16"/>
              </w:rPr>
              <w:t>*** Vorausgesetzt alle Sicherheiten liegen vor</w:t>
            </w:r>
          </w:p>
          <w:p w14:paraId="2F3CFC53" w14:textId="77777777" w:rsidR="00624FB8" w:rsidRPr="00EF4434" w:rsidRDefault="006F72FD" w:rsidP="00CF7761">
            <w:pPr>
              <w:pStyle w:val="Listenabsatz"/>
              <w:keepNext/>
              <w:keepLines/>
              <w:spacing w:line="276" w:lineRule="auto"/>
              <w:ind w:left="0"/>
              <w:rPr>
                <w:rFonts w:cs="Arial"/>
                <w:sz w:val="16"/>
                <w:szCs w:val="16"/>
              </w:rPr>
            </w:pPr>
            <w:r>
              <w:rPr>
                <w:sz w:val="16"/>
                <w:szCs w:val="16"/>
              </w:rPr>
              <w:t>**** Bitte beachten Sie rein rechtlich hat die Regulierungsbehörde binnen 2 Monate zu entscheiden</w:t>
            </w:r>
          </w:p>
        </w:tc>
        <w:tc>
          <w:tcPr>
            <w:tcW w:w="1552" w:type="dxa"/>
            <w:tcBorders>
              <w:top w:val="single" w:sz="4" w:space="0" w:color="FFFFFF"/>
              <w:left w:val="nil"/>
              <w:bottom w:val="single" w:sz="4" w:space="0" w:color="FFFFFF"/>
              <w:right w:val="single" w:sz="4" w:space="0" w:color="FFFFFF"/>
            </w:tcBorders>
            <w:shd w:val="clear" w:color="000000" w:fill="auto"/>
            <w:noWrap/>
            <w:vAlign w:val="center"/>
          </w:tcPr>
          <w:p w14:paraId="51A8C4C2" w14:textId="77777777" w:rsidR="00DE5C6F" w:rsidRPr="00EF4434" w:rsidRDefault="00DE5C6F" w:rsidP="00CF7761">
            <w:pPr>
              <w:pStyle w:val="Listenabsatz"/>
              <w:keepNext/>
              <w:keepLines/>
              <w:spacing w:line="276" w:lineRule="auto"/>
              <w:rPr>
                <w:rFonts w:cs="Arial"/>
                <w:sz w:val="16"/>
                <w:szCs w:val="16"/>
              </w:rPr>
            </w:pPr>
          </w:p>
        </w:tc>
      </w:tr>
    </w:tbl>
    <w:p w14:paraId="249FF474" w14:textId="77777777" w:rsidR="00EE355B" w:rsidRDefault="00EE355B" w:rsidP="00CF7761">
      <w:pPr>
        <w:keepNext/>
        <w:keepLines/>
        <w:rPr>
          <w:b/>
        </w:rPr>
      </w:pPr>
    </w:p>
    <w:p w14:paraId="2771CAED" w14:textId="77777777" w:rsidR="00972406" w:rsidRDefault="00972406" w:rsidP="00972406">
      <w:pPr>
        <w:keepNext/>
        <w:rPr>
          <w:b/>
        </w:rPr>
      </w:pPr>
      <w:r>
        <w:rPr>
          <w:b/>
        </w:rPr>
        <w:t>Hinweise und Tipps</w:t>
      </w:r>
    </w:p>
    <w:p w14:paraId="5382B632" w14:textId="77777777" w:rsidR="00972406" w:rsidRDefault="00972406" w:rsidP="00972406">
      <w:pPr>
        <w:keepNext/>
      </w:pPr>
      <w:r>
        <w:t>Allgemein gültige Zeitangaben sind praktisch nicht möglich, da der Zulassungsprozess natürlich von der Schnelligkeit der Beibringung der Unterlagen</w:t>
      </w:r>
      <w:r w:rsidR="004A724E">
        <w:t xml:space="preserve"> durch</w:t>
      </w:r>
      <w:r w:rsidR="003E5FAB">
        <w:t xml:space="preserve"> </w:t>
      </w:r>
      <w:r>
        <w:t xml:space="preserve">Ihr Unternehmen abhängig ist. Die durchschnittlichen Zeitangaben als Orientierungshilfe wurden unter der Voraussetzung gemacht, dass die Registrierungsunterlagen vollständig und richtig ausgefüllt beim Bilanzgruppenkoordinator, dem Regelzonenführer bzw. der Regulierungsbehörde vorliegen. </w:t>
      </w:r>
    </w:p>
    <w:p w14:paraId="58947CAC" w14:textId="77777777" w:rsidR="00F03A19" w:rsidRDefault="00F03A19" w:rsidP="00F03A19"/>
    <w:p w14:paraId="537FAA86" w14:textId="77777777" w:rsidR="00F03A19" w:rsidRDefault="00F03A19" w:rsidP="00F03A19">
      <w:r>
        <w:t xml:space="preserve">Rein rechtlich hat die Regulierungsbehörde ab Vorliegen aller vollständigen Antragsunterlagen gemäß </w:t>
      </w:r>
      <w:hyperlink r:id="rId29" w:history="1">
        <w:r w:rsidRPr="00F03A19">
          <w:rPr>
            <w:rStyle w:val="Hyperlink"/>
          </w:rPr>
          <w:t xml:space="preserve">der </w:t>
        </w:r>
        <w:r>
          <w:rPr>
            <w:rStyle w:val="Hyperlink"/>
          </w:rPr>
          <w:t xml:space="preserve">jeweiligen </w:t>
        </w:r>
        <w:r w:rsidRPr="00F03A19">
          <w:rPr>
            <w:rStyle w:val="Hyperlink"/>
          </w:rPr>
          <w:t>Landesgesetzgebung</w:t>
        </w:r>
      </w:hyperlink>
      <w:r>
        <w:t xml:space="preserve"> binnen zwei Monaten über die Zulassung zum Bilanzgruppenverantwortlichen zu entscheiden. </w:t>
      </w:r>
      <w:r w:rsidR="006C4676">
        <w:t>Das anwendbare Landesgesetz richtet sich nach dem Hauptwohnsitz oder Sitz des Antragstellers. Ist kein Sitz im Inland vorhanden, zieht die Regulierungsbehörde grundsätzlich den Sitz des Zustellungsbevollmächtigten für die Ermittlung des anwendbaren Landesgesetzes heran.</w:t>
      </w:r>
    </w:p>
    <w:p w14:paraId="63BDC0ED" w14:textId="77777777" w:rsidR="00972406" w:rsidRDefault="00972406" w:rsidP="00972406"/>
    <w:p w14:paraId="019F33AC" w14:textId="77777777" w:rsidR="00972406" w:rsidRDefault="00972406" w:rsidP="00972406">
      <w:r>
        <w:t xml:space="preserve">Die Empfehlung lautet daher für Bilanzgruppenverantwortliche, möglichst parallele Schritte zu setzen, um die Gesamtzeit der Registrierung zu verkürzen und sich bereits im Vorfeld </w:t>
      </w:r>
      <w:r w:rsidR="00613A14">
        <w:t xml:space="preserve">der </w:t>
      </w:r>
      <w:r w:rsidR="00613A14">
        <w:lastRenderedPageBreak/>
        <w:t>Registrierung und Zulassung</w:t>
      </w:r>
      <w:r>
        <w:t xml:space="preserve"> beim Bilanzgruppenkoordinator, dem Regelzonenführer bzw. der Regulierungsbehörde zu melden. </w:t>
      </w:r>
    </w:p>
    <w:p w14:paraId="538DEC5B" w14:textId="77777777" w:rsidR="0000091E" w:rsidRDefault="0000091E" w:rsidP="0000091E"/>
    <w:p w14:paraId="06B1329C" w14:textId="77777777" w:rsidR="0000091E" w:rsidRPr="009A54B4" w:rsidRDefault="0000091E" w:rsidP="00412864">
      <w:pPr>
        <w:keepNext/>
        <w:rPr>
          <w:b/>
        </w:rPr>
      </w:pPr>
      <w:r w:rsidRPr="009A54B4">
        <w:rPr>
          <w:b/>
        </w:rPr>
        <w:t>Handlungsanweisung</w:t>
      </w:r>
      <w:r w:rsidR="00D1140B">
        <w:rPr>
          <w:b/>
        </w:rPr>
        <w:t xml:space="preserve"> Variante 2</w:t>
      </w:r>
      <w:r w:rsidR="00C72996">
        <w:rPr>
          <w:b/>
        </w:rPr>
        <w:t xml:space="preserve">: </w:t>
      </w:r>
      <w:r w:rsidR="00C72996" w:rsidRPr="00C72996">
        <w:rPr>
          <w:b/>
        </w:rPr>
        <w:t>Mitgliedschaft bei einer bestehenden Bilanzgruppe</w:t>
      </w:r>
    </w:p>
    <w:p w14:paraId="56EF378E" w14:textId="77777777" w:rsidR="00394707" w:rsidRDefault="0000091E" w:rsidP="00394707">
      <w:r>
        <w:t>Die Variante der Mitgliedschaft bei einer bestehenden Bilanzgruppe ist relativ rasch und einfach ohne Zulassungsprozess bei der Regulierungsbehörde umzusetzen. Das Bilanzgruppenmanagement wird dabei vom Stromhändler bzw. -lieferanten als Dienstleistung vo</w:t>
      </w:r>
      <w:r w:rsidR="00052F70">
        <w:t xml:space="preserve">n einem </w:t>
      </w:r>
      <w:r>
        <w:t xml:space="preserve">Bilanzgruppenverantwortlichen in Anspruch genommen. </w:t>
      </w:r>
      <w:r w:rsidR="00052F70">
        <w:t>Sie müssen die Mitgliedschaft bilateral m</w:t>
      </w:r>
      <w:r>
        <w:t>it dem ge</w:t>
      </w:r>
      <w:r w:rsidR="00052F70">
        <w:t>wünschten</w:t>
      </w:r>
      <w:r>
        <w:t xml:space="preserve"> Bilanzgruppenverantwortlichen in Form eines Vertrags auf Basis der Allgemeinen Bedingungen vereinbar</w:t>
      </w:r>
      <w:r w:rsidR="00052F70">
        <w:t>en</w:t>
      </w:r>
      <w:r w:rsidR="00394707">
        <w:t xml:space="preserve">. Auf der Website der E-Control findet sich eine Liste von Dienstleistern, die für Stromhändler und -lieferanten unter anderem auch das Bilanzgruppenmanagement anbieten. Link: </w:t>
      </w:r>
      <w:hyperlink r:id="rId30" w:history="1">
        <w:r w:rsidR="00394707" w:rsidRPr="00BE5BF6">
          <w:rPr>
            <w:rStyle w:val="Hyperlink"/>
          </w:rPr>
          <w:t>https://www.e-control.at/strom/strommarkt/dienstleister</w:t>
        </w:r>
      </w:hyperlink>
    </w:p>
    <w:p w14:paraId="323314DC" w14:textId="77777777" w:rsidR="0000091E" w:rsidRDefault="0000091E" w:rsidP="00052F70"/>
    <w:p w14:paraId="6CB40054" w14:textId="77777777" w:rsidR="0000091E" w:rsidRDefault="0000091E" w:rsidP="0000091E">
      <w:pPr>
        <w:shd w:val="clear" w:color="auto" w:fill="FFFFFF"/>
      </w:pPr>
    </w:p>
    <w:p w14:paraId="507D9080" w14:textId="3B4E00F1" w:rsidR="00AE3AF6" w:rsidRDefault="0000091E" w:rsidP="0000091E">
      <w:pPr>
        <w:shd w:val="clear" w:color="auto" w:fill="FFFFFF"/>
      </w:pPr>
      <w:r>
        <w:t>Darauffolgend ist die</w:t>
      </w:r>
      <w:r w:rsidRPr="00B44A73">
        <w:t xml:space="preserve"> Registrierung </w:t>
      </w:r>
      <w:r>
        <w:t>bei der Verrechnungsstelle (APCS)</w:t>
      </w:r>
      <w:r w:rsidRPr="00B44A73">
        <w:t xml:space="preserve"> als </w:t>
      </w:r>
      <w:r w:rsidR="0004431D">
        <w:t>Stromhändler und Lieferant</w:t>
      </w:r>
      <w:r w:rsidRPr="00B44A73">
        <w:t xml:space="preserve"> </w:t>
      </w:r>
      <w:r>
        <w:t xml:space="preserve">mit Zugehörigkeit zu einem bestehenden Bilanzgruppenverantwortlichen vorzunehmen. Hierzu ist </w:t>
      </w:r>
      <w:r w:rsidR="000255BE">
        <w:t>der Registrierungsprozess für Lieferanten bei der APCS einzuhalten</w:t>
      </w:r>
      <w:r w:rsidR="00052F70">
        <w:t xml:space="preserve">. Sie </w:t>
      </w:r>
      <w:r w:rsidR="000255BE">
        <w:t xml:space="preserve">finden </w:t>
      </w:r>
      <w:r w:rsidR="00052F70">
        <w:t xml:space="preserve">Ihn </w:t>
      </w:r>
      <w:r w:rsidR="000255BE">
        <w:t>unter</w:t>
      </w:r>
      <w:r w:rsidR="00052F70">
        <w:t xml:space="preserve"> </w:t>
      </w:r>
      <w:hyperlink r:id="rId31" w:history="1">
        <w:r w:rsidR="00556B08">
          <w:rPr>
            <w:rStyle w:val="Hyperlink"/>
          </w:rPr>
          <w:t>https://www.apcs.at/de/registrierung/lieferant</w:t>
        </w:r>
      </w:hyperlink>
      <w:r w:rsidR="000255BE">
        <w:t xml:space="preserve">. </w:t>
      </w:r>
    </w:p>
    <w:p w14:paraId="7C1D4D3F" w14:textId="77777777" w:rsidR="00AE3AF6" w:rsidRDefault="00AE3AF6" w:rsidP="0000091E">
      <w:pPr>
        <w:shd w:val="clear" w:color="auto" w:fill="FFFFFF"/>
      </w:pPr>
    </w:p>
    <w:p w14:paraId="0B29666C" w14:textId="77777777" w:rsidR="0000091E" w:rsidRDefault="000255BE" w:rsidP="0000091E">
      <w:pPr>
        <w:shd w:val="clear" w:color="auto" w:fill="FFFFFF"/>
      </w:pPr>
      <w:r>
        <w:t>D</w:t>
      </w:r>
      <w:r w:rsidR="0000091E" w:rsidRPr="00633CA5">
        <w:t xml:space="preserve">er Markteintritt kann </w:t>
      </w:r>
      <w:r w:rsidR="00BA0D31">
        <w:t xml:space="preserve">wegen </w:t>
      </w:r>
      <w:r w:rsidR="0000091E">
        <w:t>technische</w:t>
      </w:r>
      <w:r w:rsidR="00BA0D31">
        <w:t>r</w:t>
      </w:r>
      <w:r w:rsidR="0000091E">
        <w:t xml:space="preserve"> Gründe </w:t>
      </w:r>
      <w:r w:rsidR="00BA0D31">
        <w:t xml:space="preserve">beim Bilanzgruppenkoordinator APCS </w:t>
      </w:r>
      <w:r w:rsidR="0000091E">
        <w:t>nur</w:t>
      </w:r>
      <w:r w:rsidR="0000091E" w:rsidRPr="00633CA5">
        <w:t xml:space="preserve"> zum Monatsersten erfolgen.</w:t>
      </w:r>
    </w:p>
    <w:p w14:paraId="4E4AEC83" w14:textId="77777777" w:rsidR="007900DD" w:rsidRDefault="007900DD" w:rsidP="007C3459">
      <w:pPr>
        <w:spacing w:line="240" w:lineRule="auto"/>
      </w:pPr>
    </w:p>
    <w:tbl>
      <w:tblPr>
        <w:tblW w:w="0" w:type="auto"/>
        <w:tblInd w:w="55" w:type="dxa"/>
        <w:tblLayout w:type="fixed"/>
        <w:tblCellMar>
          <w:left w:w="70" w:type="dxa"/>
          <w:right w:w="70" w:type="dxa"/>
        </w:tblCellMar>
        <w:tblLook w:val="04A0" w:firstRow="1" w:lastRow="0" w:firstColumn="1" w:lastColumn="0" w:noHBand="0" w:noVBand="1"/>
      </w:tblPr>
      <w:tblGrid>
        <w:gridCol w:w="8237"/>
        <w:gridCol w:w="1410"/>
      </w:tblGrid>
      <w:tr w:rsidR="0000091E" w:rsidRPr="00EF4434" w14:paraId="1F0293CD" w14:textId="77777777" w:rsidTr="00E808A8">
        <w:trPr>
          <w:trHeight w:val="255"/>
        </w:trPr>
        <w:tc>
          <w:tcPr>
            <w:tcW w:w="8237" w:type="dxa"/>
            <w:tcBorders>
              <w:top w:val="nil"/>
              <w:left w:val="nil"/>
              <w:bottom w:val="nil"/>
              <w:right w:val="nil"/>
            </w:tcBorders>
            <w:shd w:val="clear" w:color="000000" w:fill="95B3D7"/>
            <w:noWrap/>
            <w:vAlign w:val="center"/>
            <w:hideMark/>
          </w:tcPr>
          <w:p w14:paraId="2B604F08" w14:textId="77777777" w:rsidR="0000091E" w:rsidRPr="00EF4434" w:rsidRDefault="0000091E" w:rsidP="00454112">
            <w:pPr>
              <w:pStyle w:val="Listenabsatz"/>
              <w:spacing w:line="276" w:lineRule="auto"/>
              <w:ind w:left="0"/>
              <w:rPr>
                <w:b/>
              </w:rPr>
            </w:pPr>
            <w:r w:rsidRPr="00EF4434">
              <w:rPr>
                <w:b/>
              </w:rPr>
              <w:t xml:space="preserve">Checkliste </w:t>
            </w:r>
            <w:r w:rsidR="00CC31BD">
              <w:rPr>
                <w:b/>
              </w:rPr>
              <w:t>–</w:t>
            </w:r>
            <w:r w:rsidRPr="00EF4434">
              <w:rPr>
                <w:b/>
              </w:rPr>
              <w:t xml:space="preserve"> </w:t>
            </w:r>
            <w:r w:rsidR="00036B08">
              <w:rPr>
                <w:b/>
              </w:rPr>
              <w:t>Mitgliedschaft</w:t>
            </w:r>
            <w:r w:rsidRPr="00EF4434">
              <w:rPr>
                <w:b/>
              </w:rPr>
              <w:t xml:space="preserve"> bei bestehende</w:t>
            </w:r>
            <w:r w:rsidR="00454112">
              <w:rPr>
                <w:b/>
              </w:rPr>
              <w:t>n</w:t>
            </w:r>
            <w:r w:rsidRPr="00EF4434">
              <w:rPr>
                <w:b/>
              </w:rPr>
              <w:t xml:space="preserve"> Bilanzgruppen</w:t>
            </w:r>
          </w:p>
        </w:tc>
        <w:tc>
          <w:tcPr>
            <w:tcW w:w="1410" w:type="dxa"/>
            <w:tcBorders>
              <w:top w:val="nil"/>
              <w:left w:val="nil"/>
              <w:bottom w:val="nil"/>
              <w:right w:val="nil"/>
            </w:tcBorders>
            <w:shd w:val="clear" w:color="000000" w:fill="95B3D7"/>
            <w:noWrap/>
            <w:vAlign w:val="center"/>
            <w:hideMark/>
          </w:tcPr>
          <w:p w14:paraId="28C4BFE6" w14:textId="77777777" w:rsidR="0000091E" w:rsidRPr="00EF4434" w:rsidRDefault="00DE5C6F" w:rsidP="00E808A8">
            <w:pPr>
              <w:pStyle w:val="Listenabsatz"/>
              <w:spacing w:line="276" w:lineRule="auto"/>
              <w:rPr>
                <w:b/>
              </w:rPr>
            </w:pPr>
            <w:r>
              <w:rPr>
                <w:b/>
              </w:rPr>
              <w:t>AT*</w:t>
            </w:r>
          </w:p>
        </w:tc>
      </w:tr>
      <w:tr w:rsidR="0000091E" w:rsidRPr="009744B5" w14:paraId="5EBC615E" w14:textId="77777777" w:rsidTr="00E808A8">
        <w:trPr>
          <w:trHeight w:val="255"/>
        </w:trPr>
        <w:tc>
          <w:tcPr>
            <w:tcW w:w="8237" w:type="dxa"/>
            <w:tcBorders>
              <w:top w:val="single" w:sz="4" w:space="0" w:color="FFFFFF"/>
              <w:left w:val="single" w:sz="4" w:space="0" w:color="FFFFFF"/>
              <w:bottom w:val="nil"/>
              <w:right w:val="single" w:sz="4" w:space="0" w:color="FFFFFF"/>
            </w:tcBorders>
            <w:shd w:val="clear" w:color="000000" w:fill="BDD1E7"/>
            <w:vAlign w:val="center"/>
            <w:hideMark/>
          </w:tcPr>
          <w:p w14:paraId="40ECF09F" w14:textId="77777777" w:rsidR="0000091E" w:rsidRPr="009744B5" w:rsidRDefault="0000091E" w:rsidP="00E808A8">
            <w:pPr>
              <w:pStyle w:val="Listenabsatz"/>
              <w:spacing w:line="276" w:lineRule="auto"/>
            </w:pPr>
            <w:r w:rsidRPr="009744B5">
              <w:t>Verhandlung und Vertrag mit gewählte</w:t>
            </w:r>
            <w:r w:rsidR="00AA5F32">
              <w:t>m</w:t>
            </w:r>
            <w:r w:rsidRPr="009744B5">
              <w:t xml:space="preserve"> Bilanzgruppenverantwortlichen</w:t>
            </w:r>
          </w:p>
        </w:tc>
        <w:tc>
          <w:tcPr>
            <w:tcW w:w="1410" w:type="dxa"/>
            <w:tcBorders>
              <w:top w:val="single" w:sz="4" w:space="0" w:color="FFFFFF"/>
              <w:left w:val="nil"/>
              <w:bottom w:val="nil"/>
              <w:right w:val="single" w:sz="4" w:space="0" w:color="FFFFFF"/>
            </w:tcBorders>
            <w:shd w:val="clear" w:color="000000" w:fill="BDD1E7"/>
            <w:noWrap/>
            <w:vAlign w:val="center"/>
            <w:hideMark/>
          </w:tcPr>
          <w:p w14:paraId="5CD7D2BC" w14:textId="77777777" w:rsidR="0000091E" w:rsidRPr="009744B5" w:rsidRDefault="002152FE" w:rsidP="00E808A8">
            <w:pPr>
              <w:pStyle w:val="Listenabsatz"/>
              <w:spacing w:line="276" w:lineRule="auto"/>
              <w:ind w:left="213"/>
            </w:pPr>
            <w:r>
              <w:t>1</w:t>
            </w:r>
            <w:r w:rsidR="00624FB8">
              <w:t>0</w:t>
            </w:r>
          </w:p>
        </w:tc>
      </w:tr>
      <w:tr w:rsidR="0000091E" w:rsidRPr="009744B5" w14:paraId="75DF32FE" w14:textId="77777777" w:rsidTr="00E808A8">
        <w:trPr>
          <w:trHeight w:val="255"/>
        </w:trPr>
        <w:tc>
          <w:tcPr>
            <w:tcW w:w="8237" w:type="dxa"/>
            <w:tcBorders>
              <w:top w:val="single" w:sz="4" w:space="0" w:color="FFFFFF"/>
              <w:left w:val="single" w:sz="4" w:space="0" w:color="FFFFFF"/>
              <w:bottom w:val="nil"/>
              <w:right w:val="single" w:sz="4" w:space="0" w:color="FFFFFF"/>
            </w:tcBorders>
            <w:shd w:val="clear" w:color="000000" w:fill="BDD1E7"/>
            <w:vAlign w:val="center"/>
          </w:tcPr>
          <w:p w14:paraId="7BF042A3" w14:textId="77777777" w:rsidR="0000091E" w:rsidRPr="009744B5" w:rsidRDefault="0000091E" w:rsidP="00E808A8">
            <w:pPr>
              <w:pStyle w:val="Listenabsatz"/>
              <w:spacing w:line="276" w:lineRule="auto"/>
            </w:pPr>
            <w:r w:rsidRPr="009744B5">
              <w:t>Vergabe EIC Nummer (falls noch nicht vorhanden)</w:t>
            </w:r>
          </w:p>
        </w:tc>
        <w:tc>
          <w:tcPr>
            <w:tcW w:w="1410" w:type="dxa"/>
            <w:tcBorders>
              <w:top w:val="single" w:sz="4" w:space="0" w:color="FFFFFF"/>
              <w:left w:val="nil"/>
              <w:bottom w:val="nil"/>
              <w:right w:val="single" w:sz="4" w:space="0" w:color="FFFFFF"/>
            </w:tcBorders>
            <w:shd w:val="clear" w:color="000000" w:fill="BDD1E7"/>
            <w:noWrap/>
            <w:vAlign w:val="center"/>
          </w:tcPr>
          <w:p w14:paraId="4B397235" w14:textId="77777777" w:rsidR="0000091E" w:rsidRPr="009744B5" w:rsidRDefault="0000091E" w:rsidP="00E808A8">
            <w:pPr>
              <w:pStyle w:val="Listenabsatz"/>
              <w:spacing w:line="276" w:lineRule="auto"/>
              <w:ind w:left="213"/>
            </w:pPr>
            <w:r w:rsidRPr="009744B5">
              <w:t>1</w:t>
            </w:r>
          </w:p>
        </w:tc>
      </w:tr>
      <w:tr w:rsidR="0000091E" w:rsidRPr="009744B5" w14:paraId="0B78FF23" w14:textId="77777777" w:rsidTr="00E808A8">
        <w:trPr>
          <w:trHeight w:val="255"/>
        </w:trPr>
        <w:tc>
          <w:tcPr>
            <w:tcW w:w="8237" w:type="dxa"/>
            <w:tcBorders>
              <w:top w:val="nil"/>
              <w:left w:val="single" w:sz="4" w:space="0" w:color="FFFFFF"/>
              <w:bottom w:val="nil"/>
              <w:right w:val="single" w:sz="4" w:space="0" w:color="FFFFFF"/>
            </w:tcBorders>
            <w:shd w:val="clear" w:color="000000" w:fill="DAE6F2"/>
            <w:noWrap/>
            <w:vAlign w:val="center"/>
            <w:hideMark/>
          </w:tcPr>
          <w:p w14:paraId="0EB42F04" w14:textId="77777777" w:rsidR="0000091E" w:rsidRPr="009744B5" w:rsidRDefault="0000091E" w:rsidP="00AA5F32">
            <w:pPr>
              <w:pStyle w:val="Listenabsatz"/>
              <w:spacing w:line="276" w:lineRule="auto"/>
            </w:pPr>
            <w:r w:rsidRPr="009744B5">
              <w:t>Reg</w:t>
            </w:r>
            <w:r w:rsidR="00454112">
              <w:t>istrierung als Lieferant beim</w:t>
            </w:r>
            <w:r w:rsidRPr="009744B5">
              <w:t xml:space="preserve"> </w:t>
            </w:r>
            <w:r w:rsidR="00AA5F32">
              <w:t>BKO</w:t>
            </w:r>
            <w:r w:rsidR="00454112">
              <w:t xml:space="preserve"> </w:t>
            </w:r>
            <w:r w:rsidR="00624FB8">
              <w:t>(</w:t>
            </w:r>
            <w:r w:rsidRPr="009744B5">
              <w:t>Verrechnungsstelle</w:t>
            </w:r>
            <w:r w:rsidR="00624FB8">
              <w:t>)</w:t>
            </w:r>
            <w:r w:rsidRPr="009744B5">
              <w:t xml:space="preserve"> APCS</w:t>
            </w:r>
          </w:p>
        </w:tc>
        <w:tc>
          <w:tcPr>
            <w:tcW w:w="1410" w:type="dxa"/>
            <w:tcBorders>
              <w:top w:val="nil"/>
              <w:left w:val="nil"/>
              <w:bottom w:val="nil"/>
              <w:right w:val="single" w:sz="4" w:space="0" w:color="FFFFFF"/>
            </w:tcBorders>
            <w:shd w:val="clear" w:color="000000" w:fill="DAE6F2"/>
            <w:noWrap/>
            <w:vAlign w:val="center"/>
            <w:hideMark/>
          </w:tcPr>
          <w:p w14:paraId="317C5FEE" w14:textId="77777777" w:rsidR="0000091E" w:rsidRPr="009744B5" w:rsidRDefault="00624FB8" w:rsidP="00E808A8">
            <w:pPr>
              <w:pStyle w:val="Listenabsatz"/>
              <w:spacing w:line="276" w:lineRule="auto"/>
              <w:ind w:left="213"/>
            </w:pPr>
            <w:r>
              <w:t>8</w:t>
            </w:r>
          </w:p>
        </w:tc>
      </w:tr>
      <w:tr w:rsidR="0000091E" w:rsidRPr="009744B5" w14:paraId="56376200" w14:textId="77777777" w:rsidTr="00E808A8">
        <w:trPr>
          <w:trHeight w:val="255"/>
        </w:trPr>
        <w:tc>
          <w:tcPr>
            <w:tcW w:w="8237" w:type="dxa"/>
            <w:tcBorders>
              <w:top w:val="single" w:sz="4" w:space="0" w:color="FFFFFF"/>
              <w:left w:val="single" w:sz="4" w:space="0" w:color="FFFFFF"/>
              <w:bottom w:val="single" w:sz="4" w:space="0" w:color="FFFFFF"/>
              <w:right w:val="single" w:sz="4" w:space="0" w:color="FFFFFF"/>
            </w:tcBorders>
            <w:shd w:val="clear" w:color="000000" w:fill="BDD1E7"/>
            <w:vAlign w:val="center"/>
          </w:tcPr>
          <w:p w14:paraId="3BE094BE" w14:textId="77777777" w:rsidR="0000091E" w:rsidRPr="009744B5" w:rsidRDefault="00624FB8" w:rsidP="00454112">
            <w:pPr>
              <w:pStyle w:val="Listenabsatz"/>
              <w:spacing w:line="276" w:lineRule="auto"/>
            </w:pPr>
            <w:r>
              <w:t>Einrichtung i</w:t>
            </w:r>
            <w:r w:rsidR="00443BF5">
              <w:t>n</w:t>
            </w:r>
            <w:r w:rsidR="0000091E" w:rsidRPr="009744B5">
              <w:t xml:space="preserve"> Systemen </w:t>
            </w:r>
            <w:r>
              <w:t xml:space="preserve">des </w:t>
            </w:r>
            <w:r w:rsidR="00AA5F32">
              <w:t>BKO</w:t>
            </w:r>
            <w:r w:rsidR="00454112">
              <w:t xml:space="preserve"> </w:t>
            </w:r>
            <w:r>
              <w:t xml:space="preserve">(Verrechnungsstelle) </w:t>
            </w:r>
            <w:r w:rsidR="0000091E" w:rsidRPr="009744B5">
              <w:t>APCS</w:t>
            </w:r>
          </w:p>
        </w:tc>
        <w:tc>
          <w:tcPr>
            <w:tcW w:w="1410" w:type="dxa"/>
            <w:tcBorders>
              <w:top w:val="single" w:sz="4" w:space="0" w:color="FFFFFF"/>
              <w:left w:val="nil"/>
              <w:bottom w:val="single" w:sz="4" w:space="0" w:color="FFFFFF"/>
              <w:right w:val="single" w:sz="4" w:space="0" w:color="FFFFFF"/>
            </w:tcBorders>
            <w:shd w:val="clear" w:color="000000" w:fill="BDD1E7"/>
            <w:noWrap/>
            <w:vAlign w:val="center"/>
          </w:tcPr>
          <w:p w14:paraId="31B70B40" w14:textId="77777777" w:rsidR="0000091E" w:rsidRPr="009744B5" w:rsidRDefault="00624FB8" w:rsidP="00E808A8">
            <w:pPr>
              <w:pStyle w:val="Listenabsatz"/>
              <w:spacing w:line="276" w:lineRule="auto"/>
              <w:ind w:left="213"/>
            </w:pPr>
            <w:r>
              <w:t>2-3</w:t>
            </w:r>
          </w:p>
        </w:tc>
      </w:tr>
      <w:tr w:rsidR="0000091E" w:rsidRPr="009744B5" w14:paraId="5FBE7DED" w14:textId="77777777" w:rsidTr="00E808A8">
        <w:trPr>
          <w:trHeight w:val="255"/>
        </w:trPr>
        <w:tc>
          <w:tcPr>
            <w:tcW w:w="8237" w:type="dxa"/>
            <w:tcBorders>
              <w:top w:val="nil"/>
              <w:left w:val="single" w:sz="4" w:space="0" w:color="FFFFFF"/>
              <w:bottom w:val="nil"/>
              <w:right w:val="single" w:sz="4" w:space="0" w:color="FFFFFF"/>
            </w:tcBorders>
            <w:shd w:val="clear" w:color="000000" w:fill="DAE6F2"/>
            <w:noWrap/>
            <w:vAlign w:val="center"/>
            <w:hideMark/>
          </w:tcPr>
          <w:p w14:paraId="25B78C58" w14:textId="77777777" w:rsidR="0000091E" w:rsidRPr="009744B5" w:rsidRDefault="0000091E" w:rsidP="00E808A8">
            <w:pPr>
              <w:pStyle w:val="Listenabsatz"/>
              <w:spacing w:line="276" w:lineRule="auto"/>
            </w:pPr>
            <w:r w:rsidRPr="00D466E3">
              <w:rPr>
                <w:b/>
              </w:rPr>
              <w:t>Durchschnitt Gesamtzeit</w:t>
            </w:r>
            <w:r w:rsidRPr="009744B5">
              <w:t xml:space="preserve"> (ev. kürzer als Summe AT da Prozesse parallel)</w:t>
            </w:r>
          </w:p>
        </w:tc>
        <w:tc>
          <w:tcPr>
            <w:tcW w:w="1410" w:type="dxa"/>
            <w:tcBorders>
              <w:top w:val="nil"/>
              <w:left w:val="nil"/>
              <w:bottom w:val="nil"/>
              <w:right w:val="single" w:sz="4" w:space="0" w:color="FFFFFF"/>
            </w:tcBorders>
            <w:shd w:val="clear" w:color="000000" w:fill="DAE6F2"/>
            <w:noWrap/>
            <w:vAlign w:val="center"/>
            <w:hideMark/>
          </w:tcPr>
          <w:p w14:paraId="0D8FC67E" w14:textId="77777777" w:rsidR="0000091E" w:rsidRPr="00D466E3" w:rsidRDefault="00624FB8" w:rsidP="00E808A8">
            <w:pPr>
              <w:pStyle w:val="Listenabsatz"/>
              <w:spacing w:line="276" w:lineRule="auto"/>
              <w:ind w:left="213"/>
              <w:rPr>
                <w:b/>
              </w:rPr>
            </w:pPr>
            <w:r>
              <w:rPr>
                <w:b/>
              </w:rPr>
              <w:t>20-25</w:t>
            </w:r>
          </w:p>
        </w:tc>
      </w:tr>
      <w:tr w:rsidR="0000091E" w:rsidRPr="009744B5" w14:paraId="4F058D74" w14:textId="77777777" w:rsidTr="00E808A8">
        <w:trPr>
          <w:trHeight w:val="270"/>
        </w:trPr>
        <w:tc>
          <w:tcPr>
            <w:tcW w:w="8237" w:type="dxa"/>
            <w:tcBorders>
              <w:top w:val="nil"/>
              <w:left w:val="single" w:sz="4" w:space="0" w:color="FFFFFF"/>
              <w:bottom w:val="single" w:sz="4" w:space="0" w:color="FFFFFF"/>
              <w:right w:val="single" w:sz="4" w:space="0" w:color="FFFFFF"/>
            </w:tcBorders>
            <w:shd w:val="clear" w:color="000000" w:fill="FFFFFF"/>
            <w:vAlign w:val="center"/>
            <w:hideMark/>
          </w:tcPr>
          <w:p w14:paraId="29F1E91B" w14:textId="77777777" w:rsidR="0000091E" w:rsidRPr="009744B5" w:rsidRDefault="0000091E" w:rsidP="00E808A8">
            <w:pPr>
              <w:pStyle w:val="Listenabsatz"/>
              <w:spacing w:line="276" w:lineRule="auto"/>
              <w:ind w:left="0"/>
              <w:rPr>
                <w:sz w:val="16"/>
                <w:szCs w:val="16"/>
              </w:rPr>
            </w:pPr>
            <w:r w:rsidRPr="009744B5">
              <w:rPr>
                <w:sz w:val="16"/>
                <w:szCs w:val="16"/>
              </w:rPr>
              <w:t>*</w:t>
            </w:r>
            <w:r w:rsidR="006F1A1F">
              <w:rPr>
                <w:rFonts w:cs="Arial"/>
                <w:sz w:val="16"/>
                <w:szCs w:val="16"/>
              </w:rPr>
              <w:t xml:space="preserve"> AT= Arbeitstage sind </w:t>
            </w:r>
            <w:r w:rsidR="006F1A1F" w:rsidRPr="00EF4434">
              <w:rPr>
                <w:rFonts w:cs="Arial"/>
                <w:sz w:val="16"/>
                <w:szCs w:val="16"/>
              </w:rPr>
              <w:t>Erfahrungswerte als Orientierungshilfe</w:t>
            </w:r>
          </w:p>
        </w:tc>
        <w:tc>
          <w:tcPr>
            <w:tcW w:w="1410" w:type="dxa"/>
            <w:tcBorders>
              <w:top w:val="nil"/>
              <w:left w:val="nil"/>
              <w:bottom w:val="nil"/>
              <w:right w:val="nil"/>
            </w:tcBorders>
            <w:shd w:val="clear" w:color="auto" w:fill="auto"/>
            <w:noWrap/>
            <w:vAlign w:val="center"/>
            <w:hideMark/>
          </w:tcPr>
          <w:p w14:paraId="40887BE3" w14:textId="77777777" w:rsidR="0000091E" w:rsidRPr="009744B5" w:rsidRDefault="0000091E" w:rsidP="00E808A8">
            <w:pPr>
              <w:pStyle w:val="Listenabsatz"/>
              <w:spacing w:line="276" w:lineRule="auto"/>
              <w:rPr>
                <w:sz w:val="16"/>
                <w:szCs w:val="16"/>
              </w:rPr>
            </w:pPr>
          </w:p>
        </w:tc>
      </w:tr>
    </w:tbl>
    <w:p w14:paraId="23107AC0" w14:textId="77777777" w:rsidR="0000091E" w:rsidRDefault="0000091E" w:rsidP="0000091E"/>
    <w:p w14:paraId="4A41E8E6" w14:textId="77777777" w:rsidR="0000091E" w:rsidRDefault="0000091E" w:rsidP="00052F70">
      <w:pPr>
        <w:keepNext/>
        <w:rPr>
          <w:b/>
        </w:rPr>
      </w:pPr>
      <w:r>
        <w:rPr>
          <w:b/>
        </w:rPr>
        <w:t>Hinweise und Tipps</w:t>
      </w:r>
    </w:p>
    <w:p w14:paraId="5D908E87" w14:textId="77777777" w:rsidR="006072F4" w:rsidRDefault="0000091E" w:rsidP="007C3459">
      <w:pPr>
        <w:keepNext/>
      </w:pPr>
      <w:r>
        <w:t xml:space="preserve">Allgemein gültige Zeitangaben sind </w:t>
      </w:r>
      <w:r w:rsidR="00972406">
        <w:t>schwer</w:t>
      </w:r>
      <w:r>
        <w:t xml:space="preserve"> möglich</w:t>
      </w:r>
      <w:r w:rsidR="00972406">
        <w:t xml:space="preserve">. </w:t>
      </w:r>
      <w:r>
        <w:t xml:space="preserve">Für die Mitgliedschaft als Stromhändler bzw. -lieferant bei einer bestehenden Bilanzgruppe und der Registrierung als </w:t>
      </w:r>
      <w:r w:rsidR="00972406">
        <w:t xml:space="preserve">Lieferant beim Bilanzgruppenkoordinator, </w:t>
      </w:r>
      <w:r>
        <w:t xml:space="preserve">hängt die Dauer bis zur möglichen Geschäftsaufnahme maßgeblich </w:t>
      </w:r>
      <w:r w:rsidR="00454112">
        <w:t>von der Dauer der</w:t>
      </w:r>
      <w:r>
        <w:t xml:space="preserve"> Verhandlungen mit dem jeweiligen Bilanzgruppenverantwortlichen ab. Die Einrichtung eines Lieferanten im System des Bilanzgruppenkoordinators kann innerhalb weniger </w:t>
      </w:r>
      <w:r>
        <w:lastRenderedPageBreak/>
        <w:t>Werktage erfolgen.</w:t>
      </w:r>
      <w:r w:rsidR="009606E5">
        <w:t xml:space="preserve"> Zu beachten bleibt, das</w:t>
      </w:r>
      <w:r w:rsidR="00DB67E5">
        <w:t>s</w:t>
      </w:r>
      <w:r w:rsidR="009606E5">
        <w:t xml:space="preserve"> der Markteintritt aus technischen Gründen immer zum Monatsersten erfolgt.</w:t>
      </w:r>
    </w:p>
    <w:p w14:paraId="03159408" w14:textId="35E1FE3A" w:rsidR="00501884" w:rsidRDefault="00501884">
      <w:pPr>
        <w:spacing w:line="240" w:lineRule="auto"/>
        <w:rPr>
          <w:b/>
          <w:noProof/>
          <w:sz w:val="24"/>
          <w:szCs w:val="20"/>
          <w:lang w:val="de-DE"/>
        </w:rPr>
      </w:pPr>
      <w:bookmarkStart w:id="7" w:name="_Toc379201256"/>
      <w:bookmarkStart w:id="8" w:name="_Toc353353904"/>
    </w:p>
    <w:p w14:paraId="6DDCB52B" w14:textId="77777777" w:rsidR="0000091E" w:rsidRDefault="0000091E">
      <w:pPr>
        <w:pStyle w:val="berschrift2"/>
        <w:keepNext/>
        <w:keepLines/>
        <w:widowControl/>
        <w:numPr>
          <w:ilvl w:val="0"/>
          <w:numId w:val="3"/>
        </w:numPr>
        <w:overflowPunct/>
        <w:autoSpaceDE/>
        <w:autoSpaceDN/>
        <w:adjustRightInd/>
        <w:spacing w:before="200" w:after="0" w:line="480" w:lineRule="auto"/>
        <w:jc w:val="left"/>
        <w:textAlignment w:val="auto"/>
      </w:pPr>
      <w:bookmarkStart w:id="9" w:name="_Toc31376443"/>
      <w:r>
        <w:t>Anzeige der Tätigkeit bei der jeweiligen Landesregierung</w:t>
      </w:r>
      <w:bookmarkEnd w:id="7"/>
      <w:bookmarkEnd w:id="9"/>
      <w:r>
        <w:t xml:space="preserve"> </w:t>
      </w:r>
    </w:p>
    <w:p w14:paraId="471F30A7" w14:textId="77777777" w:rsidR="0000091E" w:rsidRDefault="0000091E" w:rsidP="0000091E">
      <w:pPr>
        <w:rPr>
          <w:b/>
        </w:rPr>
      </w:pPr>
      <w:r>
        <w:rPr>
          <w:b/>
        </w:rPr>
        <w:t>Rechtliche Grundlage</w:t>
      </w:r>
    </w:p>
    <w:p w14:paraId="129A5528" w14:textId="77777777" w:rsidR="0000091E" w:rsidRDefault="00F26E1C" w:rsidP="0000091E">
      <w:pPr>
        <w:pStyle w:val="Listenabsatz"/>
        <w:numPr>
          <w:ilvl w:val="0"/>
          <w:numId w:val="4"/>
        </w:numPr>
      </w:pPr>
      <w:hyperlink r:id="rId32" w:history="1">
        <w:r w:rsidR="00624FB8">
          <w:rPr>
            <w:rStyle w:val="Hyperlink"/>
          </w:rPr>
          <w:t>Landesges</w:t>
        </w:r>
        <w:r w:rsidR="00624FB8">
          <w:rPr>
            <w:rStyle w:val="Hyperlink"/>
          </w:rPr>
          <w:t>e</w:t>
        </w:r>
        <w:r w:rsidR="00624FB8">
          <w:rPr>
            <w:rStyle w:val="Hyperlink"/>
          </w:rPr>
          <w:t>tze</w:t>
        </w:r>
      </w:hyperlink>
    </w:p>
    <w:p w14:paraId="2E79622B" w14:textId="063F38C8" w:rsidR="0000091E" w:rsidRPr="005448BC" w:rsidRDefault="0000091E" w:rsidP="0000091E">
      <w:pPr>
        <w:rPr>
          <w:b/>
        </w:rPr>
      </w:pPr>
      <w:r>
        <w:rPr>
          <w:b/>
        </w:rPr>
        <w:t>Kurzbeschreibung</w:t>
      </w:r>
    </w:p>
    <w:p w14:paraId="01B7CAB7" w14:textId="0C4F3542" w:rsidR="0000091E" w:rsidRDefault="0000091E" w:rsidP="0000091E">
      <w:r>
        <w:t>Für einen</w:t>
      </w:r>
      <w:r w:rsidRPr="009C73DF">
        <w:t xml:space="preserve"> </w:t>
      </w:r>
      <w:r>
        <w:t>Strom</w:t>
      </w:r>
      <w:r w:rsidRPr="009C73DF">
        <w:t>händler</w:t>
      </w:r>
      <w:r w:rsidR="00052F70">
        <w:t xml:space="preserve"> und L</w:t>
      </w:r>
      <w:r>
        <w:t xml:space="preserve">ieferanten ist </w:t>
      </w:r>
      <w:r w:rsidRPr="009C73DF">
        <w:t xml:space="preserve">eine </w:t>
      </w:r>
      <w:r>
        <w:t>Anzeige</w:t>
      </w:r>
      <w:r w:rsidRPr="009C73DF">
        <w:t xml:space="preserve"> der Tätigkeit bei den Landesregierungen derjenigen Bundesländer notwendig, in denen die Tätigkeit ausgeübt wird.</w:t>
      </w:r>
      <w:r>
        <w:t xml:space="preserve"> Das gilt unabhängig davon, ob </w:t>
      </w:r>
      <w:r w:rsidR="00052F70">
        <w:t>Sie</w:t>
      </w:r>
      <w:r>
        <w:t xml:space="preserve"> sich </w:t>
      </w:r>
      <w:r w:rsidRPr="009C73DF">
        <w:t>einer bestehenden Bilanzgruppe anschließ</w:t>
      </w:r>
      <w:r w:rsidR="00052F70">
        <w:t>en</w:t>
      </w:r>
      <w:r>
        <w:t xml:space="preserve"> und sich </w:t>
      </w:r>
      <w:r w:rsidRPr="009C73DF">
        <w:t>von einem zugelassenen Bilanzgruppe</w:t>
      </w:r>
      <w:r>
        <w:t>nverantwortlichen vertreten</w:t>
      </w:r>
      <w:r w:rsidR="00052F70">
        <w:t xml:space="preserve"> lassen oder, ob Sie</w:t>
      </w:r>
      <w:r>
        <w:t xml:space="preserve"> </w:t>
      </w:r>
      <w:r w:rsidR="00052F70">
        <w:t>selbst eine Bilanzgruppe gründen</w:t>
      </w:r>
      <w:r>
        <w:t xml:space="preserve">. </w:t>
      </w:r>
      <w:r w:rsidR="00FA4E7E" w:rsidRPr="00FA4E7E">
        <w:t>Derzeit sehen ausschließlich die Landesgesetze von Kärnten und Steiermark eine Anzeigepflicht für Stromhändler und Lieferanten vor.</w:t>
      </w:r>
    </w:p>
    <w:p w14:paraId="02E87FB6" w14:textId="77777777" w:rsidR="006072F4" w:rsidRDefault="006072F4" w:rsidP="0000091E">
      <w:pPr>
        <w:rPr>
          <w:b/>
        </w:rPr>
      </w:pPr>
    </w:p>
    <w:p w14:paraId="2C78298F" w14:textId="77777777" w:rsidR="0000091E" w:rsidRDefault="0000091E" w:rsidP="0000091E">
      <w:pPr>
        <w:rPr>
          <w:b/>
        </w:rPr>
      </w:pPr>
      <w:r w:rsidRPr="00304069">
        <w:rPr>
          <w:b/>
        </w:rPr>
        <w:t>Handlungsanweisung</w:t>
      </w:r>
    </w:p>
    <w:p w14:paraId="18DF2585" w14:textId="77777777" w:rsidR="00052F70" w:rsidRPr="00304069" w:rsidRDefault="0000091E" w:rsidP="0000091E">
      <w:r>
        <w:t xml:space="preserve">Plant man in bestimmten Bundesländern die Geschäftstätigkeit Stromlieferanten/Stromhändler zu beginnen, so ist zuvor zu prüfen, ob in diesen Bundesländern eine Anzeigepflicht für Stromlieferanten/Stromhändler besteht. </w:t>
      </w:r>
      <w:r w:rsidR="00DB67E5">
        <w:t>Sofern eine Anzeigepflicht besteht, ist die Aufnahme der Tätigkeit bei der jeweiligen Landesbehörde anzuzeigen. Es wird empfohlen, diese Anzeige mit eingeschriebenem Brief zu übersenden.</w:t>
      </w:r>
    </w:p>
    <w:tbl>
      <w:tblPr>
        <w:tblW w:w="0" w:type="auto"/>
        <w:tblInd w:w="55" w:type="dxa"/>
        <w:tblCellMar>
          <w:left w:w="70" w:type="dxa"/>
          <w:right w:w="70" w:type="dxa"/>
        </w:tblCellMar>
        <w:tblLook w:val="04A0" w:firstRow="1" w:lastRow="0" w:firstColumn="1" w:lastColumn="0" w:noHBand="0" w:noVBand="1"/>
      </w:tblPr>
      <w:tblGrid>
        <w:gridCol w:w="7878"/>
        <w:gridCol w:w="1239"/>
      </w:tblGrid>
      <w:tr w:rsidR="0000091E" w:rsidRPr="00EF4434" w14:paraId="53388F02" w14:textId="77777777" w:rsidTr="0089476C">
        <w:trPr>
          <w:trHeight w:val="255"/>
        </w:trPr>
        <w:tc>
          <w:tcPr>
            <w:tcW w:w="7878" w:type="dxa"/>
            <w:tcBorders>
              <w:top w:val="single" w:sz="4" w:space="0" w:color="FFFFFF"/>
              <w:left w:val="single" w:sz="4" w:space="0" w:color="FFFFFF"/>
              <w:bottom w:val="nil"/>
              <w:right w:val="single" w:sz="4" w:space="0" w:color="FFFFFF"/>
            </w:tcBorders>
            <w:shd w:val="clear" w:color="000000" w:fill="95B3D7"/>
            <w:noWrap/>
            <w:vAlign w:val="center"/>
            <w:hideMark/>
          </w:tcPr>
          <w:p w14:paraId="43AF1198" w14:textId="77777777" w:rsidR="0000091E" w:rsidRPr="00EF4434" w:rsidRDefault="0000091E" w:rsidP="00E808A8">
            <w:pPr>
              <w:pStyle w:val="Listenabsatz"/>
              <w:spacing w:line="276" w:lineRule="auto"/>
              <w:ind w:left="0"/>
              <w:rPr>
                <w:b/>
              </w:rPr>
            </w:pPr>
            <w:r w:rsidRPr="00EF4434">
              <w:rPr>
                <w:b/>
              </w:rPr>
              <w:t xml:space="preserve">Checkliste </w:t>
            </w:r>
            <w:r w:rsidR="00CC31BD">
              <w:rPr>
                <w:b/>
              </w:rPr>
              <w:t>–</w:t>
            </w:r>
            <w:r w:rsidRPr="00EF4434">
              <w:rPr>
                <w:b/>
              </w:rPr>
              <w:t xml:space="preserve"> Anzeige der Tätigkeit bei der jeweiligen Landesregierung </w:t>
            </w:r>
          </w:p>
        </w:tc>
        <w:tc>
          <w:tcPr>
            <w:tcW w:w="800" w:type="dxa"/>
            <w:tcBorders>
              <w:top w:val="single" w:sz="4" w:space="0" w:color="FFFFFF"/>
              <w:left w:val="nil"/>
              <w:bottom w:val="nil"/>
              <w:right w:val="single" w:sz="4" w:space="0" w:color="FFFFFF"/>
            </w:tcBorders>
            <w:shd w:val="clear" w:color="000000" w:fill="95B3D7"/>
            <w:vAlign w:val="center"/>
            <w:hideMark/>
          </w:tcPr>
          <w:p w14:paraId="2E42C97D" w14:textId="77777777" w:rsidR="0000091E" w:rsidRPr="00EF4434" w:rsidRDefault="00DE5C6F" w:rsidP="00E808A8">
            <w:pPr>
              <w:pStyle w:val="Listenabsatz"/>
              <w:spacing w:line="276" w:lineRule="auto"/>
              <w:rPr>
                <w:b/>
              </w:rPr>
            </w:pPr>
            <w:r>
              <w:rPr>
                <w:b/>
              </w:rPr>
              <w:t>AT*</w:t>
            </w:r>
          </w:p>
        </w:tc>
      </w:tr>
      <w:tr w:rsidR="0000091E" w:rsidRPr="00EF4434" w14:paraId="62D3406F" w14:textId="77777777" w:rsidTr="0089476C">
        <w:trPr>
          <w:trHeight w:val="255"/>
        </w:trPr>
        <w:tc>
          <w:tcPr>
            <w:tcW w:w="7878" w:type="dxa"/>
            <w:tcBorders>
              <w:top w:val="single" w:sz="4" w:space="0" w:color="FFFFFF"/>
              <w:left w:val="single" w:sz="4" w:space="0" w:color="FFFFFF"/>
              <w:bottom w:val="nil"/>
              <w:right w:val="single" w:sz="4" w:space="0" w:color="FFFFFF"/>
            </w:tcBorders>
            <w:shd w:val="clear" w:color="000000" w:fill="BDD1E7"/>
            <w:vAlign w:val="center"/>
            <w:hideMark/>
          </w:tcPr>
          <w:p w14:paraId="3BD32E52" w14:textId="77777777" w:rsidR="0000091E" w:rsidRPr="00EF4434" w:rsidRDefault="0000091E" w:rsidP="00E808A8">
            <w:pPr>
              <w:pStyle w:val="Listenabsatz"/>
              <w:spacing w:line="276" w:lineRule="auto"/>
            </w:pPr>
            <w:r w:rsidRPr="00EF4434">
              <w:t>Information</w:t>
            </w:r>
            <w:r w:rsidR="00052F70">
              <w:t>en</w:t>
            </w:r>
            <w:r w:rsidRPr="00EF4434">
              <w:t xml:space="preserve"> über Landesgesetze einholen</w:t>
            </w:r>
          </w:p>
        </w:tc>
        <w:tc>
          <w:tcPr>
            <w:tcW w:w="800" w:type="dxa"/>
            <w:tcBorders>
              <w:top w:val="single" w:sz="4" w:space="0" w:color="FFFFFF"/>
              <w:left w:val="nil"/>
              <w:bottom w:val="nil"/>
              <w:right w:val="single" w:sz="4" w:space="0" w:color="FFFFFF"/>
            </w:tcBorders>
            <w:shd w:val="clear" w:color="000000" w:fill="BDD1E7"/>
            <w:noWrap/>
            <w:vAlign w:val="center"/>
            <w:hideMark/>
          </w:tcPr>
          <w:p w14:paraId="2FA4DD87" w14:textId="77777777" w:rsidR="0000091E" w:rsidRPr="00EF4434" w:rsidRDefault="00AE3AF6" w:rsidP="00E808A8">
            <w:pPr>
              <w:pStyle w:val="Listenabsatz"/>
              <w:spacing w:line="276" w:lineRule="auto"/>
            </w:pPr>
            <w:r>
              <w:t>0,2</w:t>
            </w:r>
          </w:p>
        </w:tc>
      </w:tr>
      <w:tr w:rsidR="0000091E" w:rsidRPr="00EF4434" w14:paraId="4EC58154" w14:textId="77777777" w:rsidTr="0089476C">
        <w:trPr>
          <w:trHeight w:val="255"/>
        </w:trPr>
        <w:tc>
          <w:tcPr>
            <w:tcW w:w="7878" w:type="dxa"/>
            <w:tcBorders>
              <w:top w:val="nil"/>
              <w:left w:val="single" w:sz="4" w:space="0" w:color="FFFFFF"/>
              <w:right w:val="single" w:sz="4" w:space="0" w:color="FFFFFF"/>
            </w:tcBorders>
            <w:shd w:val="clear" w:color="000000" w:fill="DAE6F2"/>
            <w:noWrap/>
            <w:vAlign w:val="center"/>
            <w:hideMark/>
          </w:tcPr>
          <w:p w14:paraId="5D5BCB99" w14:textId="77777777" w:rsidR="0000091E" w:rsidRPr="00EF4434" w:rsidRDefault="0000091E" w:rsidP="00E808A8">
            <w:pPr>
              <w:pStyle w:val="Listenabsatz"/>
              <w:spacing w:line="276" w:lineRule="auto"/>
            </w:pPr>
            <w:r w:rsidRPr="00EF4434">
              <w:t xml:space="preserve">Anzeige </w:t>
            </w:r>
            <w:r w:rsidR="00AE3AF6">
              <w:t xml:space="preserve">bei der(en) Landesregierung(en) </w:t>
            </w:r>
            <w:r w:rsidRPr="00EF4434">
              <w:t>tätigen</w:t>
            </w:r>
          </w:p>
        </w:tc>
        <w:tc>
          <w:tcPr>
            <w:tcW w:w="800" w:type="dxa"/>
            <w:tcBorders>
              <w:top w:val="nil"/>
              <w:left w:val="nil"/>
              <w:right w:val="single" w:sz="4" w:space="0" w:color="FFFFFF"/>
            </w:tcBorders>
            <w:shd w:val="clear" w:color="000000" w:fill="DAE6F2"/>
            <w:noWrap/>
            <w:vAlign w:val="center"/>
            <w:hideMark/>
          </w:tcPr>
          <w:p w14:paraId="259E8E4A" w14:textId="77777777" w:rsidR="0000091E" w:rsidRPr="00EF4434" w:rsidRDefault="00AE3AF6" w:rsidP="00E808A8">
            <w:pPr>
              <w:pStyle w:val="Listenabsatz"/>
              <w:spacing w:line="276" w:lineRule="auto"/>
            </w:pPr>
            <w:r>
              <w:t>0,1</w:t>
            </w:r>
          </w:p>
        </w:tc>
      </w:tr>
      <w:tr w:rsidR="0000091E" w:rsidRPr="00EF4434" w14:paraId="7A4DD69C" w14:textId="77777777" w:rsidTr="0089476C">
        <w:trPr>
          <w:trHeight w:val="255"/>
        </w:trPr>
        <w:tc>
          <w:tcPr>
            <w:tcW w:w="7878" w:type="dxa"/>
            <w:tcBorders>
              <w:top w:val="nil"/>
              <w:left w:val="single" w:sz="4" w:space="0" w:color="FFFFFF"/>
              <w:bottom w:val="nil"/>
              <w:right w:val="single" w:sz="4" w:space="0" w:color="FFFFFF"/>
            </w:tcBorders>
            <w:shd w:val="clear" w:color="000000" w:fill="B8CCE4" w:themeFill="accent1" w:themeFillTint="66"/>
            <w:noWrap/>
            <w:vAlign w:val="center"/>
            <w:hideMark/>
          </w:tcPr>
          <w:p w14:paraId="09FF4232" w14:textId="77777777" w:rsidR="0000091E" w:rsidRPr="00EF4434" w:rsidRDefault="0000091E" w:rsidP="00E808A8">
            <w:pPr>
              <w:pStyle w:val="Listenabsatz"/>
              <w:spacing w:line="276" w:lineRule="auto"/>
            </w:pPr>
            <w:r w:rsidRPr="00AE3AF6">
              <w:rPr>
                <w:b/>
              </w:rPr>
              <w:t>Durchschnitt Gesamtzeit</w:t>
            </w:r>
          </w:p>
        </w:tc>
        <w:tc>
          <w:tcPr>
            <w:tcW w:w="800" w:type="dxa"/>
            <w:tcBorders>
              <w:top w:val="nil"/>
              <w:left w:val="nil"/>
              <w:bottom w:val="nil"/>
              <w:right w:val="single" w:sz="4" w:space="0" w:color="FFFFFF"/>
            </w:tcBorders>
            <w:shd w:val="clear" w:color="000000" w:fill="B8CCE4" w:themeFill="accent1" w:themeFillTint="66"/>
            <w:noWrap/>
            <w:vAlign w:val="center"/>
            <w:hideMark/>
          </w:tcPr>
          <w:p w14:paraId="209B2101" w14:textId="77777777" w:rsidR="0000091E" w:rsidRPr="00AA05BF" w:rsidRDefault="006C4676" w:rsidP="00E808A8">
            <w:pPr>
              <w:pStyle w:val="Listenabsatz"/>
              <w:spacing w:line="276" w:lineRule="auto"/>
              <w:rPr>
                <w:b/>
              </w:rPr>
            </w:pPr>
            <w:r>
              <w:rPr>
                <w:b/>
              </w:rPr>
              <w:t>0</w:t>
            </w:r>
            <w:r w:rsidR="00AE3AF6" w:rsidRPr="00AA05BF">
              <w:rPr>
                <w:b/>
              </w:rPr>
              <w:t>,3</w:t>
            </w:r>
          </w:p>
        </w:tc>
      </w:tr>
      <w:tr w:rsidR="0000091E" w:rsidRPr="00AE3AF6" w14:paraId="26DD5510" w14:textId="77777777" w:rsidTr="0089476C">
        <w:trPr>
          <w:trHeight w:val="270"/>
        </w:trPr>
        <w:tc>
          <w:tcPr>
            <w:tcW w:w="7878" w:type="dxa"/>
            <w:tcBorders>
              <w:top w:val="nil"/>
              <w:left w:val="single" w:sz="4" w:space="0" w:color="FFFFFF"/>
              <w:bottom w:val="single" w:sz="4" w:space="0" w:color="FFFFFF"/>
              <w:right w:val="single" w:sz="4" w:space="0" w:color="FFFFFF"/>
            </w:tcBorders>
            <w:shd w:val="clear" w:color="000000" w:fill="FFFFFF"/>
            <w:vAlign w:val="center"/>
            <w:hideMark/>
          </w:tcPr>
          <w:p w14:paraId="172F282B" w14:textId="77777777" w:rsidR="0000091E" w:rsidRPr="006F1A1F" w:rsidRDefault="006F1A1F" w:rsidP="006F1A1F">
            <w:pPr>
              <w:spacing w:line="276" w:lineRule="auto"/>
              <w:ind w:left="360"/>
              <w:rPr>
                <w:sz w:val="16"/>
                <w:szCs w:val="16"/>
              </w:rPr>
            </w:pPr>
            <w:r>
              <w:rPr>
                <w:sz w:val="16"/>
                <w:szCs w:val="16"/>
              </w:rPr>
              <w:t xml:space="preserve">AT= Arbeitstage sind </w:t>
            </w:r>
            <w:r w:rsidRPr="00EF4434">
              <w:rPr>
                <w:sz w:val="16"/>
                <w:szCs w:val="16"/>
              </w:rPr>
              <w:t>Erfahrungswerte als Orientierungshilfe</w:t>
            </w:r>
          </w:p>
        </w:tc>
        <w:tc>
          <w:tcPr>
            <w:tcW w:w="800" w:type="dxa"/>
            <w:tcBorders>
              <w:top w:val="nil"/>
              <w:left w:val="nil"/>
              <w:bottom w:val="nil"/>
              <w:right w:val="nil"/>
            </w:tcBorders>
            <w:shd w:val="clear" w:color="auto" w:fill="auto"/>
            <w:noWrap/>
            <w:vAlign w:val="center"/>
            <w:hideMark/>
          </w:tcPr>
          <w:p w14:paraId="0724B917" w14:textId="77777777" w:rsidR="0000091E" w:rsidRPr="00AE3AF6" w:rsidRDefault="0000091E" w:rsidP="00E808A8">
            <w:pPr>
              <w:pStyle w:val="Listenabsatz"/>
              <w:spacing w:line="276" w:lineRule="auto"/>
              <w:rPr>
                <w:sz w:val="16"/>
                <w:szCs w:val="16"/>
              </w:rPr>
            </w:pPr>
          </w:p>
        </w:tc>
      </w:tr>
    </w:tbl>
    <w:p w14:paraId="14151903" w14:textId="77777777" w:rsidR="00B313A9" w:rsidRDefault="00B313A9" w:rsidP="00B313A9">
      <w:bookmarkStart w:id="10" w:name="_Toc379201257"/>
    </w:p>
    <w:p w14:paraId="086D4589" w14:textId="77777777" w:rsidR="0000091E" w:rsidRDefault="0000091E" w:rsidP="00136CBE">
      <w:pPr>
        <w:pStyle w:val="berschrift2"/>
        <w:keepNext/>
        <w:keepLines/>
        <w:widowControl/>
        <w:numPr>
          <w:ilvl w:val="0"/>
          <w:numId w:val="3"/>
        </w:numPr>
        <w:overflowPunct/>
        <w:autoSpaceDE/>
        <w:autoSpaceDN/>
        <w:adjustRightInd/>
        <w:spacing w:before="200" w:after="0" w:line="276" w:lineRule="auto"/>
        <w:jc w:val="left"/>
        <w:textAlignment w:val="auto"/>
      </w:pPr>
      <w:bookmarkStart w:id="11" w:name="_Toc31376444"/>
      <w:r>
        <w:lastRenderedPageBreak/>
        <w:t>Grenzüberschreitender Stromtransport (Import &amp; Export)</w:t>
      </w:r>
      <w:bookmarkEnd w:id="8"/>
      <w:bookmarkEnd w:id="10"/>
      <w:bookmarkEnd w:id="11"/>
    </w:p>
    <w:p w14:paraId="63114A25" w14:textId="77777777" w:rsidR="0000091E" w:rsidRPr="0049253C" w:rsidRDefault="0000091E" w:rsidP="00136CBE">
      <w:pPr>
        <w:keepNext/>
        <w:keepLines/>
      </w:pPr>
    </w:p>
    <w:p w14:paraId="2956622E" w14:textId="77777777" w:rsidR="0000091E" w:rsidRPr="009A54B4" w:rsidRDefault="00D1140B" w:rsidP="00136CBE">
      <w:pPr>
        <w:keepNext/>
        <w:keepLines/>
        <w:rPr>
          <w:b/>
        </w:rPr>
      </w:pPr>
      <w:r>
        <w:rPr>
          <w:b/>
        </w:rPr>
        <w:t>Rechtliche Grundlagen</w:t>
      </w:r>
    </w:p>
    <w:p w14:paraId="72015866" w14:textId="1598A43E" w:rsidR="005845A0" w:rsidRPr="00C7432F" w:rsidRDefault="0000091E" w:rsidP="00136CBE">
      <w:pPr>
        <w:keepNext/>
        <w:keepLines/>
      </w:pPr>
      <w:bookmarkStart w:id="12" w:name="_Hlk26454986"/>
      <w:r w:rsidRPr="00C7432F">
        <w:t>VERORDNUNG (EG) 20</w:t>
      </w:r>
      <w:r w:rsidR="00162831">
        <w:t>1</w:t>
      </w:r>
      <w:r w:rsidRPr="00C7432F">
        <w:t>9</w:t>
      </w:r>
      <w:r w:rsidR="005F2C9C">
        <w:t>/</w:t>
      </w:r>
      <w:r w:rsidR="005F2C9C" w:rsidRPr="005F2C9C">
        <w:t xml:space="preserve"> </w:t>
      </w:r>
      <w:r w:rsidR="005F2C9C" w:rsidRPr="00C7432F">
        <w:t xml:space="preserve">Nr. </w:t>
      </w:r>
      <w:r w:rsidR="005F2C9C">
        <w:t>943</w:t>
      </w:r>
      <w:r w:rsidRPr="00C7432F">
        <w:t xml:space="preserve"> über </w:t>
      </w:r>
      <w:r w:rsidR="002E123B" w:rsidRPr="002E123B">
        <w:t>den Elektrizitätsbinnenmarkt</w:t>
      </w:r>
      <w:r w:rsidR="002E123B">
        <w:t xml:space="preserve"> </w:t>
      </w:r>
      <w:r w:rsidR="00C0097D">
        <w:br/>
      </w:r>
      <w:hyperlink r:id="rId33" w:history="1">
        <w:r w:rsidR="00472341">
          <w:rPr>
            <w:rStyle w:val="Hyperlink"/>
          </w:rPr>
          <w:t>https://eur-lex.europa.eu/legal-content/</w:t>
        </w:r>
        <w:r w:rsidR="00472341">
          <w:rPr>
            <w:rStyle w:val="Hyperlink"/>
          </w:rPr>
          <w:t>D</w:t>
        </w:r>
        <w:r w:rsidR="00472341">
          <w:rPr>
            <w:rStyle w:val="Hyperlink"/>
          </w:rPr>
          <w:t>E/TXT/?qid=1575558443106&amp;uri=CELEX:32019R0943</w:t>
        </w:r>
      </w:hyperlink>
      <w:r w:rsidRPr="00C7432F">
        <w:t xml:space="preserve"> </w:t>
      </w:r>
      <w:bookmarkEnd w:id="12"/>
    </w:p>
    <w:p w14:paraId="38A92B27" w14:textId="77777777" w:rsidR="00AD0038" w:rsidRDefault="00AD0038" w:rsidP="00136CBE">
      <w:pPr>
        <w:keepNext/>
        <w:keepLines/>
      </w:pPr>
    </w:p>
    <w:p w14:paraId="4CE958CD" w14:textId="77777777" w:rsidR="00AD0038" w:rsidRDefault="00AD0038" w:rsidP="00136CBE">
      <w:pPr>
        <w:keepNext/>
        <w:keepLines/>
      </w:pPr>
      <w:r w:rsidRPr="006C7135">
        <w:t>VERORDNUNG (EU) 2015/1222 DER KOMMISSION</w:t>
      </w:r>
      <w:r>
        <w:t xml:space="preserve"> </w:t>
      </w:r>
      <w:r w:rsidRPr="006C7135">
        <w:t>zur Festlegung einer Leitlinie für die Kapazitätsvergabe und das Engpassmanagement</w:t>
      </w:r>
    </w:p>
    <w:p w14:paraId="40ECA613" w14:textId="2B1ED09A" w:rsidR="00AD0038" w:rsidRDefault="00556B08" w:rsidP="00136CBE">
      <w:pPr>
        <w:keepNext/>
        <w:keepLines/>
      </w:pPr>
      <w:hyperlink r:id="rId34" w:history="1">
        <w:r w:rsidRPr="00074025">
          <w:rPr>
            <w:rStyle w:val="Hyperlink"/>
          </w:rPr>
          <w:t>https://eur-lex.europa.eu/legal-content/DE/TXT/?uri=CELEX%3A32015R1222</w:t>
        </w:r>
      </w:hyperlink>
    </w:p>
    <w:p w14:paraId="68BEDBEF" w14:textId="77777777" w:rsidR="00556B08" w:rsidRDefault="00556B08" w:rsidP="00136CBE">
      <w:pPr>
        <w:keepNext/>
        <w:keepLines/>
      </w:pPr>
    </w:p>
    <w:p w14:paraId="51ABF5BA" w14:textId="77777777" w:rsidR="00492BB2" w:rsidRDefault="00492BB2" w:rsidP="00136CBE">
      <w:pPr>
        <w:keepNext/>
        <w:keepLines/>
      </w:pPr>
      <w:r>
        <w:t>VERORDNUNG (EU) 2016/1719 DER KOMMMISSION zur Festlegung einer Leitlinie für die Vergabe langfristiger Kapazität</w:t>
      </w:r>
    </w:p>
    <w:p w14:paraId="4CFEBDB5" w14:textId="09729AF9" w:rsidR="00492BB2" w:rsidRDefault="00556B08" w:rsidP="00136CBE">
      <w:pPr>
        <w:keepNext/>
        <w:keepLines/>
      </w:pPr>
      <w:hyperlink r:id="rId35" w:history="1">
        <w:r w:rsidRPr="00074025">
          <w:rPr>
            <w:rStyle w:val="Hyperlink"/>
          </w:rPr>
          <w:t>https://eur-lex.europa.eu/eli/reg/2016/1719/oj/?loc</w:t>
        </w:r>
        <w:r w:rsidRPr="00074025">
          <w:rPr>
            <w:rStyle w:val="Hyperlink"/>
          </w:rPr>
          <w:t>a</w:t>
        </w:r>
        <w:r w:rsidRPr="00074025">
          <w:rPr>
            <w:rStyle w:val="Hyperlink"/>
          </w:rPr>
          <w:t>le=de</w:t>
        </w:r>
      </w:hyperlink>
      <w:r>
        <w:t xml:space="preserve"> </w:t>
      </w:r>
    </w:p>
    <w:p w14:paraId="63C09A20" w14:textId="0A10A023" w:rsidR="00453371" w:rsidRDefault="00453371" w:rsidP="00136CBE">
      <w:pPr>
        <w:keepNext/>
        <w:keepLines/>
      </w:pPr>
    </w:p>
    <w:p w14:paraId="0A2048B7" w14:textId="77777777" w:rsidR="009F5B55" w:rsidRDefault="009F5B55" w:rsidP="00136CBE">
      <w:pPr>
        <w:keepNext/>
        <w:keepLines/>
      </w:pPr>
      <w:r>
        <w:t>Als Folge von Verordnung (EU) 2015/1222 und (EU) 2016/1719 genehmigt die Energie Control eine Reihe von detaillierteren Geschäftsbedingungen und Methoden. Laufende Informationen dazu werden unter folgendem Link veröffentlicht:</w:t>
      </w:r>
    </w:p>
    <w:p w14:paraId="13923AFF" w14:textId="77777777" w:rsidR="009F5B55" w:rsidRDefault="009F5B55" w:rsidP="00136CBE">
      <w:pPr>
        <w:keepNext/>
        <w:keepLines/>
      </w:pPr>
    </w:p>
    <w:p w14:paraId="6BEE0A0C" w14:textId="19035607" w:rsidR="009F5B55" w:rsidRDefault="00F26E1C" w:rsidP="00136CBE">
      <w:pPr>
        <w:keepNext/>
        <w:keepLines/>
      </w:pPr>
      <w:hyperlink r:id="rId36" w:history="1">
        <w:r w:rsidR="00801E88" w:rsidRPr="00433E19">
          <w:rPr>
            <w:rStyle w:val="Hyperlink"/>
          </w:rPr>
          <w:t>https://www.e-control.at/marktteilnehm</w:t>
        </w:r>
        <w:r w:rsidR="00801E88" w:rsidRPr="00433E19">
          <w:rPr>
            <w:rStyle w:val="Hyperlink"/>
          </w:rPr>
          <w:t>e</w:t>
        </w:r>
        <w:r w:rsidR="00801E88" w:rsidRPr="00433E19">
          <w:rPr>
            <w:rStyle w:val="Hyperlink"/>
          </w:rPr>
          <w:t>r/strom/network-codes-und-guidelines</w:t>
        </w:r>
      </w:hyperlink>
      <w:r w:rsidR="00801E88">
        <w:t xml:space="preserve"> </w:t>
      </w:r>
    </w:p>
    <w:p w14:paraId="3ADC1198" w14:textId="6EFB067A" w:rsidR="009F5B55" w:rsidRDefault="009F5B55" w:rsidP="00136CBE">
      <w:pPr>
        <w:keepNext/>
        <w:keepLines/>
      </w:pPr>
    </w:p>
    <w:p w14:paraId="6EE5A180" w14:textId="77777777" w:rsidR="0000091E" w:rsidRDefault="0000091E" w:rsidP="00136CBE">
      <w:pPr>
        <w:keepNext/>
        <w:keepLines/>
      </w:pPr>
      <w:r w:rsidRPr="00C7432F">
        <w:t>Sonstige Marktregeln Strom</w:t>
      </w:r>
      <w:r w:rsidR="00491627">
        <w:t>,</w:t>
      </w:r>
      <w:r w:rsidRPr="00C7432F">
        <w:t xml:space="preserve"> Kapitel 3</w:t>
      </w:r>
      <w:r w:rsidR="00C0097D">
        <w:br/>
      </w:r>
      <w:hyperlink r:id="rId37" w:anchor="p_p_id_56_INSTANCE_10318A20066_" w:history="1">
        <w:r w:rsidR="00453371" w:rsidRPr="00157EAF">
          <w:rPr>
            <w:rStyle w:val="Hyperlink"/>
          </w:rPr>
          <w:t>https://www.e-control.at/recht</w:t>
        </w:r>
        <w:r w:rsidR="00453371" w:rsidRPr="00157EAF">
          <w:rPr>
            <w:rStyle w:val="Hyperlink"/>
          </w:rPr>
          <w:t>/</w:t>
        </w:r>
        <w:r w:rsidR="00453371" w:rsidRPr="00157EAF">
          <w:rPr>
            <w:rStyle w:val="Hyperlink"/>
          </w:rPr>
          <w:t>marktregeln/sonstige-marktregeln-strom#p_p_id_56_INSTANCE_10318A20066_</w:t>
        </w:r>
      </w:hyperlink>
    </w:p>
    <w:p w14:paraId="7A71B092" w14:textId="77777777" w:rsidR="00453371" w:rsidRDefault="00453371" w:rsidP="00136CBE">
      <w:pPr>
        <w:keepNext/>
        <w:keepLines/>
      </w:pPr>
    </w:p>
    <w:p w14:paraId="768FC1A7" w14:textId="77777777" w:rsidR="0000091E" w:rsidRPr="009A54B4" w:rsidRDefault="00D1140B" w:rsidP="00136CBE">
      <w:pPr>
        <w:keepNext/>
        <w:keepLines/>
        <w:rPr>
          <w:b/>
        </w:rPr>
      </w:pPr>
      <w:r>
        <w:rPr>
          <w:b/>
        </w:rPr>
        <w:t>Kurzbeschreibung</w:t>
      </w:r>
    </w:p>
    <w:p w14:paraId="0405242D" w14:textId="20ACE206" w:rsidR="006072F4" w:rsidRDefault="0000091E" w:rsidP="00136CBE">
      <w:pPr>
        <w:keepNext/>
        <w:keepLines/>
      </w:pPr>
      <w:r>
        <w:t xml:space="preserve">Wenn Sie als </w:t>
      </w:r>
      <w:r w:rsidR="0004431D">
        <w:t>Stromhändler und Lieferant</w:t>
      </w:r>
      <w:r>
        <w:t xml:space="preserve"> über die Grenzen Österreichs hinweg Strom beziehen oder verkaufen, so sind </w:t>
      </w:r>
      <w:r w:rsidR="00162831">
        <w:t xml:space="preserve">in Abhängigkeit von der konkreten Vergabemethode durch </w:t>
      </w:r>
      <w:r w:rsidR="00EB2502">
        <w:t>Ihr</w:t>
      </w:r>
      <w:r>
        <w:t>en Bilanzgruppenverantwortlichen externe Fahr</w:t>
      </w:r>
      <w:r w:rsidR="00A67BB0">
        <w:softHyphen/>
      </w:r>
      <w:r>
        <w:t>pläne an den Regelzonenführer zu übermitteln</w:t>
      </w:r>
      <w:r w:rsidR="00AB71C0">
        <w:t xml:space="preserve"> (</w:t>
      </w:r>
      <w:proofErr w:type="spellStart"/>
      <w:r w:rsidR="00AB71C0">
        <w:t>zB</w:t>
      </w:r>
      <w:proofErr w:type="spellEnd"/>
      <w:r w:rsidR="00AB71C0">
        <w:t xml:space="preserve"> nicht für jene Grenzen mit Market </w:t>
      </w:r>
      <w:proofErr w:type="spellStart"/>
      <w:r w:rsidR="00AB71C0">
        <w:t>Coupling</w:t>
      </w:r>
      <w:proofErr w:type="spellEnd"/>
      <w:r w:rsidR="00AB71C0">
        <w:t xml:space="preserve"> für Day-</w:t>
      </w:r>
      <w:proofErr w:type="spellStart"/>
      <w:r w:rsidR="00AB71C0">
        <w:t>Ahead</w:t>
      </w:r>
      <w:proofErr w:type="spellEnd"/>
      <w:r w:rsidR="00AB71C0">
        <w:t xml:space="preserve"> Vergaben)</w:t>
      </w:r>
      <w:r>
        <w:t xml:space="preserve">. Genaueres zu den geforderten Datenformaten, den Prozessen und Fristen finden Sie in den Sonstigen Marktregeln Strom </w:t>
      </w:r>
      <w:hyperlink r:id="rId38" w:anchor="p_p_id_56_INSTANCE_10318A20066_" w:history="1">
        <w:r w:rsidR="005845A0" w:rsidRPr="005845A0">
          <w:rPr>
            <w:rStyle w:val="Hyperlink"/>
          </w:rPr>
          <w:t>Kap</w:t>
        </w:r>
        <w:r w:rsidR="005845A0" w:rsidRPr="005845A0">
          <w:rPr>
            <w:rStyle w:val="Hyperlink"/>
          </w:rPr>
          <w:t>i</w:t>
        </w:r>
        <w:r w:rsidR="005845A0" w:rsidRPr="005845A0">
          <w:rPr>
            <w:rStyle w:val="Hyperlink"/>
          </w:rPr>
          <w:t>tel 3</w:t>
        </w:r>
      </w:hyperlink>
      <w:r w:rsidR="005845A0">
        <w:t>.</w:t>
      </w:r>
    </w:p>
    <w:p w14:paraId="5633DF00" w14:textId="2B70A410" w:rsidR="009F5B55" w:rsidRDefault="0000091E" w:rsidP="00136CBE">
      <w:pPr>
        <w:keepNext/>
        <w:keepLines/>
      </w:pPr>
      <w:r w:rsidRPr="00703599">
        <w:lastRenderedPageBreak/>
        <w:t xml:space="preserve">Die grenzüberschreitenden Leitungsverbindungen im europäischen Netzverbund sind </w:t>
      </w:r>
      <w:r>
        <w:t xml:space="preserve">in der Regel </w:t>
      </w:r>
      <w:r w:rsidRPr="00703599">
        <w:t xml:space="preserve">nicht für </w:t>
      </w:r>
      <w:r w:rsidR="009F5B55">
        <w:t>einen großräumigeren</w:t>
      </w:r>
      <w:r w:rsidR="009F5B55" w:rsidRPr="00703599">
        <w:t xml:space="preserve"> Transport </w:t>
      </w:r>
      <w:r w:rsidR="009F5B55">
        <w:t>von</w:t>
      </w:r>
      <w:r w:rsidR="009F5B55" w:rsidRPr="00703599">
        <w:t xml:space="preserve"> Strommengen ausgelegt</w:t>
      </w:r>
      <w:r w:rsidR="009F5B55">
        <w:t>, wie er vom Markt in Anspruch genommen würde</w:t>
      </w:r>
      <w:r w:rsidR="009F5B55" w:rsidRPr="00703599">
        <w:t>.</w:t>
      </w:r>
      <w:r w:rsidRPr="00703599">
        <w:t xml:space="preserve"> </w:t>
      </w:r>
      <w:r>
        <w:t>Werden von den Marktteilnehmern</w:t>
      </w:r>
      <w:r w:rsidRPr="00703599">
        <w:t xml:space="preserve"> größere </w:t>
      </w:r>
      <w:r>
        <w:t>grenzüberschreitende Leitungsk</w:t>
      </w:r>
      <w:r w:rsidRPr="00703599">
        <w:t>apazität</w:t>
      </w:r>
      <w:r>
        <w:t>en</w:t>
      </w:r>
      <w:r w:rsidRPr="00703599">
        <w:t xml:space="preserve"> nachgefragt als vorhanden </w:t>
      </w:r>
      <w:r>
        <w:t xml:space="preserve">sind, so entsteht ein sogenannter Netzengpass und es müssen </w:t>
      </w:r>
      <w:r w:rsidRPr="00703599">
        <w:t xml:space="preserve">Transportrechte </w:t>
      </w:r>
      <w:r>
        <w:t>marktbasierend (mittels Versteigerungen) vergeben werden. In diesem Fall muss Ihr Bilanzgruppenverantwortlicher die notwendigen Kapazitäten in entsprechenden Versteigerungen erstehen.</w:t>
      </w:r>
      <w:r w:rsidR="00E6123C">
        <w:t xml:space="preserve"> </w:t>
      </w:r>
      <w:r w:rsidR="009F5B55">
        <w:t>An der Grenze der Regelzone APG zu Deutschland best</w:t>
      </w:r>
      <w:r w:rsidR="00801E88">
        <w:t>and</w:t>
      </w:r>
      <w:r w:rsidR="009F5B55">
        <w:t xml:space="preserve"> bis 1. Oktober 2018 kein deklarierter Engpass </w:t>
      </w:r>
      <w:r w:rsidR="002E0AD7">
        <w:t>betreffend j</w:t>
      </w:r>
      <w:r w:rsidR="002E0AD7" w:rsidRPr="00AC679B">
        <w:t>ährliche</w:t>
      </w:r>
      <w:r w:rsidR="002E0AD7">
        <w:t>, monatliche und tägliche Kapazitäten</w:t>
      </w:r>
      <w:r w:rsidR="009F5B55">
        <w:t xml:space="preserve">. </w:t>
      </w:r>
      <w:r w:rsidR="00801E88">
        <w:t>Seit dann</w:t>
      </w:r>
      <w:r w:rsidR="009F5B55">
        <w:t xml:space="preserve"> an dieser Grenze</w:t>
      </w:r>
      <w:r w:rsidR="00F65BCC">
        <w:t>,</w:t>
      </w:r>
      <w:r w:rsidR="009F5B55">
        <w:t xml:space="preserve"> wie </w:t>
      </w:r>
      <w:r w:rsidR="00F65BCC">
        <w:t xml:space="preserve">an </w:t>
      </w:r>
      <w:r w:rsidR="009F5B55">
        <w:t>allen anderen österreichischen Grenzen</w:t>
      </w:r>
      <w:r w:rsidR="00F65BCC">
        <w:t xml:space="preserve">, Kapazitäten </w:t>
      </w:r>
      <w:r w:rsidR="009F5B55">
        <w:t>über Auktionen vergeben.</w:t>
      </w:r>
    </w:p>
    <w:p w14:paraId="20D6E166" w14:textId="77777777" w:rsidR="006072F4" w:rsidRDefault="006072F4" w:rsidP="00136CBE">
      <w:pPr>
        <w:keepNext/>
        <w:keepLines/>
      </w:pPr>
    </w:p>
    <w:p w14:paraId="6E91D1A8" w14:textId="5ED1595B" w:rsidR="00753AB9" w:rsidRDefault="00753AB9" w:rsidP="00136CBE">
      <w:pPr>
        <w:keepNext/>
        <w:keepLines/>
      </w:pPr>
      <w:r>
        <w:t>Neben der gerade beschriebenen expliziten Vergabe von Übertragungsrechten</w:t>
      </w:r>
      <w:r w:rsidR="00492BB2">
        <w:t xml:space="preserve">, die nach der Verordnung (EU) 2016/1719 den Regelfall für die Vergabe der langfristigen Kapazität (monatliche und jährliche Vergaben) bildet, </w:t>
      </w:r>
      <w:r>
        <w:t xml:space="preserve">werden an machen Grenzen die Übertragungsrechte auch implizit vergeben. Dies ist derzeit an der Grenze </w:t>
      </w:r>
      <w:r w:rsidR="00D432D6">
        <w:t xml:space="preserve">Österreich-Deutschland, </w:t>
      </w:r>
      <w:r>
        <w:t xml:space="preserve">Österreich-Italien </w:t>
      </w:r>
      <w:r w:rsidR="00492BB2">
        <w:t>sowie</w:t>
      </w:r>
      <w:r>
        <w:t xml:space="preserve"> an der Grenze Österreich-Slowenien jeweils für den </w:t>
      </w:r>
      <w:proofErr w:type="spellStart"/>
      <w:r>
        <w:t>day-ahead</w:t>
      </w:r>
      <w:proofErr w:type="spellEnd"/>
      <w:r>
        <w:t xml:space="preserve"> Zeitbereich der Fall. Die implizite Vergabe der </w:t>
      </w:r>
      <w:proofErr w:type="spellStart"/>
      <w:r>
        <w:t>day-ahead</w:t>
      </w:r>
      <w:proofErr w:type="spellEnd"/>
      <w:r>
        <w:t xml:space="preserve"> und </w:t>
      </w:r>
      <w:proofErr w:type="spellStart"/>
      <w:r>
        <w:t>intraday</w:t>
      </w:r>
      <w:proofErr w:type="spellEnd"/>
      <w:r>
        <w:t xml:space="preserve"> Kapazitäten ist entsprechend der Verordnung (EU) </w:t>
      </w:r>
      <w:r w:rsidRPr="006C7135">
        <w:t>2015/1222</w:t>
      </w:r>
      <w:r>
        <w:t xml:space="preserve"> auch das schrittweise umzusetzende Zielmodell für ganz Europa. Dabei werden die Übertragungskapazitäten und die Energie gemeinsam an der Strombörse gehandelt, der gesonderte Erwerb der Übertragungsrechte ist daher nicht mehr erforderlich. Das Verfahren wird auch als Marktkopplung (</w:t>
      </w:r>
      <w:proofErr w:type="spellStart"/>
      <w:r>
        <w:t>market</w:t>
      </w:r>
      <w:proofErr w:type="spellEnd"/>
      <w:r>
        <w:t xml:space="preserve"> </w:t>
      </w:r>
      <w:proofErr w:type="spellStart"/>
      <w:r>
        <w:t>coupling</w:t>
      </w:r>
      <w:proofErr w:type="spellEnd"/>
      <w:r>
        <w:t>) bezeichnet.</w:t>
      </w:r>
    </w:p>
    <w:p w14:paraId="6B24FE6F" w14:textId="77777777" w:rsidR="00753AB9" w:rsidRDefault="00753AB9" w:rsidP="0000091E"/>
    <w:p w14:paraId="0541D174" w14:textId="460FFE7B" w:rsidR="0000091E" w:rsidRDefault="0000091E" w:rsidP="0000091E">
      <w:r>
        <w:t xml:space="preserve">Derzeit werden die </w:t>
      </w:r>
      <w:r w:rsidR="00753AB9" w:rsidRPr="00703599">
        <w:t>V</w:t>
      </w:r>
      <w:r w:rsidR="00753AB9">
        <w:t>ergabe</w:t>
      </w:r>
      <w:r w:rsidR="00753AB9" w:rsidRPr="00703599">
        <w:t xml:space="preserve">n </w:t>
      </w:r>
      <w:r w:rsidRPr="006D57B0">
        <w:t>von Leitungskapazitäten je nach</w:t>
      </w:r>
      <w:r w:rsidRPr="00703599">
        <w:t xml:space="preserve"> Grenze von ver</w:t>
      </w:r>
      <w:r>
        <w:t xml:space="preserve">schiedenen TSOs </w:t>
      </w:r>
      <w:proofErr w:type="spellStart"/>
      <w:r w:rsidR="00492BB2">
        <w:t>bzw</w:t>
      </w:r>
      <w:proofErr w:type="spellEnd"/>
      <w:r w:rsidR="00492BB2">
        <w:t xml:space="preserve"> von Strombörsen </w:t>
      </w:r>
      <w:r>
        <w:t xml:space="preserve">oder </w:t>
      </w:r>
      <w:r w:rsidR="00753AB9">
        <w:t xml:space="preserve">dem Joint </w:t>
      </w:r>
      <w:proofErr w:type="spellStart"/>
      <w:r w:rsidR="00753AB9">
        <w:t>Allocation</w:t>
      </w:r>
      <w:proofErr w:type="spellEnd"/>
      <w:r w:rsidR="00753AB9">
        <w:t xml:space="preserve"> Office (JAO</w:t>
      </w:r>
      <w:r w:rsidR="00BD226C">
        <w:t xml:space="preserve">: </w:t>
      </w:r>
      <w:hyperlink r:id="rId39" w:history="1">
        <w:r w:rsidR="00BD226C">
          <w:rPr>
            <w:rStyle w:val="Hyperlink"/>
          </w:rPr>
          <w:t>https://www.jao.e</w:t>
        </w:r>
        <w:r w:rsidR="00BD226C">
          <w:rPr>
            <w:rStyle w:val="Hyperlink"/>
          </w:rPr>
          <w:t>u</w:t>
        </w:r>
        <w:r w:rsidR="00BD226C">
          <w:rPr>
            <w:rStyle w:val="Hyperlink"/>
          </w:rPr>
          <w:t>/main</w:t>
        </w:r>
      </w:hyperlink>
      <w:r w:rsidR="00753AB9">
        <w:t xml:space="preserve">) </w:t>
      </w:r>
      <w:r>
        <w:t>durchgeführt</w:t>
      </w:r>
      <w:r w:rsidR="00BD226C">
        <w:t>, das auch detaillierte Informationen zu allen Aspekten des grenzüberschreitenden Stromhandel veröffentlicht</w:t>
      </w:r>
      <w:r>
        <w:t xml:space="preserve">. </w:t>
      </w:r>
    </w:p>
    <w:p w14:paraId="490CFC9F" w14:textId="77777777" w:rsidR="006072F4" w:rsidRDefault="006072F4" w:rsidP="0000091E">
      <w:pPr>
        <w:rPr>
          <w:b/>
        </w:rPr>
      </w:pPr>
    </w:p>
    <w:p w14:paraId="1244436B" w14:textId="77777777" w:rsidR="0000091E" w:rsidRDefault="00D1140B" w:rsidP="00B6470D">
      <w:pPr>
        <w:keepNext/>
        <w:rPr>
          <w:b/>
        </w:rPr>
      </w:pPr>
      <w:r>
        <w:rPr>
          <w:b/>
        </w:rPr>
        <w:t>Handlungsanweisung</w:t>
      </w:r>
    </w:p>
    <w:p w14:paraId="5FDB29AD" w14:textId="77777777" w:rsidR="0000091E" w:rsidRDefault="0000091E" w:rsidP="007C3459">
      <w:pPr>
        <w:rPr>
          <w:sz w:val="16"/>
          <w:szCs w:val="16"/>
        </w:rPr>
      </w:pPr>
      <w:r>
        <w:t xml:space="preserve">Je nach benötigten Kapazitäten </w:t>
      </w:r>
      <w:r w:rsidR="003C4281">
        <w:t xml:space="preserve">an bestimmten Leitungen </w:t>
      </w:r>
      <w:r>
        <w:t xml:space="preserve">ist die Registrierung bei der jeweiligen mit der Auktion befassten Stelle erforderlich. Details hierzu sind über die folgende Aufstellung bzw. mit den jeweils weiterführenden Links zu den jeweiligen für die Auktion </w:t>
      </w:r>
      <w:r w:rsidR="00D83104">
        <w:t>zuständigen Stellen zu erfahren</w:t>
      </w:r>
      <w:r>
        <w:t xml:space="preserve"> </w:t>
      </w:r>
      <w:hyperlink r:id="rId40" w:history="1">
        <w:r w:rsidR="00753AB9" w:rsidRPr="00114DDC">
          <w:rPr>
            <w:rStyle w:val="Hyperlink"/>
          </w:rPr>
          <w:t>https://www.apg.at/de/markt/str</w:t>
        </w:r>
        <w:r w:rsidR="00753AB9" w:rsidRPr="00114DDC">
          <w:rPr>
            <w:rStyle w:val="Hyperlink"/>
          </w:rPr>
          <w:t>o</w:t>
        </w:r>
        <w:r w:rsidR="00753AB9" w:rsidRPr="00114DDC">
          <w:rPr>
            <w:rStyle w:val="Hyperlink"/>
          </w:rPr>
          <w:t>mmarkt/Allokationen</w:t>
        </w:r>
      </w:hyperlink>
      <w:r w:rsidR="00753AB9">
        <w:t xml:space="preserve">. </w:t>
      </w:r>
    </w:p>
    <w:p w14:paraId="75DAA876" w14:textId="77777777" w:rsidR="00D83104" w:rsidRDefault="00D83104" w:rsidP="0000091E"/>
    <w:p w14:paraId="607DB62B" w14:textId="0408A2FB" w:rsidR="0000091E" w:rsidRDefault="0000091E" w:rsidP="0000091E">
      <w:r w:rsidRPr="00473D78">
        <w:t>Für</w:t>
      </w:r>
      <w:r>
        <w:t xml:space="preserve"> </w:t>
      </w:r>
      <w:r w:rsidRPr="006D57B0">
        <w:t>grenzüberschreitende Fahrplanmeldungen sind die</w:t>
      </w:r>
      <w:r>
        <w:t xml:space="preserve"> Regeln je nach Auktion (jährlich, täglich, </w:t>
      </w:r>
      <w:r w:rsidRPr="006E7098">
        <w:t xml:space="preserve">Day </w:t>
      </w:r>
      <w:proofErr w:type="spellStart"/>
      <w:r w:rsidRPr="006E7098">
        <w:t>ahead</w:t>
      </w:r>
      <w:proofErr w:type="spellEnd"/>
      <w:r w:rsidRPr="006E7098">
        <w:t xml:space="preserve">, </w:t>
      </w:r>
      <w:proofErr w:type="spellStart"/>
      <w:r>
        <w:t>intraday</w:t>
      </w:r>
      <w:proofErr w:type="spellEnd"/>
      <w:r>
        <w:t xml:space="preserve">) und Grenze unterschiedlich. Für weiterführende Informationen zur Fahrplananmeldung </w:t>
      </w:r>
      <w:r w:rsidR="00D83104">
        <w:t>verweisen</w:t>
      </w:r>
      <w:r>
        <w:t xml:space="preserve"> wir Sie auf die entsprechenden Tabellen der APG unter</w:t>
      </w:r>
      <w:r w:rsidR="00753AB9">
        <w:rPr>
          <w:rStyle w:val="Hyperlink"/>
        </w:rPr>
        <w:t xml:space="preserve"> </w:t>
      </w:r>
      <w:hyperlink r:id="rId41" w:history="1">
        <w:r w:rsidR="00753AB9" w:rsidRPr="002E0AD7">
          <w:rPr>
            <w:rStyle w:val="Hyperlink"/>
          </w:rPr>
          <w:t>https://www.apg.at/de/markt/strommarkt/Regel</w:t>
        </w:r>
        <w:r w:rsidR="00753AB9" w:rsidRPr="002E0AD7">
          <w:rPr>
            <w:rStyle w:val="Hyperlink"/>
          </w:rPr>
          <w:t>n</w:t>
        </w:r>
        <w:r w:rsidR="00753AB9" w:rsidRPr="002E0AD7">
          <w:rPr>
            <w:rStyle w:val="Hyperlink"/>
          </w:rPr>
          <w:t>%20zur%20Fahrplananmeldung</w:t>
        </w:r>
      </w:hyperlink>
      <w:r>
        <w:t>, die wiederum auf die jeweiligen Regeln nach Auktion und Grenze weiterverweisen.</w:t>
      </w:r>
    </w:p>
    <w:p w14:paraId="51C280D6" w14:textId="77777777" w:rsidR="006072F4" w:rsidRDefault="006072F4" w:rsidP="0000091E"/>
    <w:p w14:paraId="2DD57D31" w14:textId="77777777" w:rsidR="0000091E" w:rsidRDefault="0000091E" w:rsidP="0000091E">
      <w:r>
        <w:t>Weiterführende Informationen, insbesondere über das ETSO Schedulin</w:t>
      </w:r>
      <w:r w:rsidR="00D83104">
        <w:t>g System (ESS), finden sich</w:t>
      </w:r>
      <w:r>
        <w:t xml:space="preserve"> auf der ENTSOE Website: </w:t>
      </w:r>
      <w:hyperlink r:id="rId42" w:history="1">
        <w:r w:rsidRPr="00E60F48">
          <w:rPr>
            <w:rStyle w:val="Hyperlink"/>
          </w:rPr>
          <w:t>https://ww</w:t>
        </w:r>
        <w:r w:rsidRPr="00E60F48">
          <w:rPr>
            <w:rStyle w:val="Hyperlink"/>
          </w:rPr>
          <w:t>w</w:t>
        </w:r>
        <w:r w:rsidRPr="00E60F48">
          <w:rPr>
            <w:rStyle w:val="Hyperlink"/>
          </w:rPr>
          <w:t>.entsoe.eu/</w:t>
        </w:r>
      </w:hyperlink>
      <w:r>
        <w:t xml:space="preserve">. </w:t>
      </w:r>
    </w:p>
    <w:p w14:paraId="72308668" w14:textId="77777777" w:rsidR="0000091E" w:rsidRDefault="0000091E" w:rsidP="0000091E"/>
    <w:tbl>
      <w:tblPr>
        <w:tblW w:w="0" w:type="auto"/>
        <w:tblInd w:w="55" w:type="dxa"/>
        <w:tblCellMar>
          <w:left w:w="70" w:type="dxa"/>
          <w:right w:w="70" w:type="dxa"/>
        </w:tblCellMar>
        <w:tblLook w:val="04A0" w:firstRow="1" w:lastRow="0" w:firstColumn="1" w:lastColumn="0" w:noHBand="0" w:noVBand="1"/>
      </w:tblPr>
      <w:tblGrid>
        <w:gridCol w:w="9497"/>
      </w:tblGrid>
      <w:tr w:rsidR="00412864" w:rsidRPr="00EF4434" w14:paraId="26415D2A" w14:textId="77777777" w:rsidTr="00ED275C">
        <w:trPr>
          <w:trHeight w:val="255"/>
        </w:trPr>
        <w:tc>
          <w:tcPr>
            <w:tcW w:w="0" w:type="auto"/>
            <w:tcBorders>
              <w:top w:val="single" w:sz="4" w:space="0" w:color="FFFFFF"/>
              <w:left w:val="single" w:sz="4" w:space="0" w:color="FFFFFF"/>
              <w:bottom w:val="nil"/>
              <w:right w:val="single" w:sz="4" w:space="0" w:color="FFFFFF"/>
            </w:tcBorders>
            <w:shd w:val="clear" w:color="000000" w:fill="95B3D7"/>
            <w:noWrap/>
            <w:vAlign w:val="center"/>
            <w:hideMark/>
          </w:tcPr>
          <w:p w14:paraId="4AA13A2B" w14:textId="77777777" w:rsidR="00412864" w:rsidRPr="00EF4434" w:rsidRDefault="00412864" w:rsidP="00E808A8">
            <w:pPr>
              <w:pStyle w:val="Listenabsatz"/>
              <w:spacing w:line="276" w:lineRule="auto"/>
              <w:ind w:left="0"/>
              <w:rPr>
                <w:b/>
              </w:rPr>
            </w:pPr>
            <w:r w:rsidRPr="00EF4434">
              <w:rPr>
                <w:b/>
              </w:rPr>
              <w:t>Checkliste – Grenzüberschreitender Transport</w:t>
            </w:r>
          </w:p>
        </w:tc>
      </w:tr>
      <w:tr w:rsidR="00412864" w:rsidRPr="009744B5" w14:paraId="711764F5" w14:textId="77777777" w:rsidTr="00ED275C">
        <w:trPr>
          <w:trHeight w:val="255"/>
        </w:trPr>
        <w:tc>
          <w:tcPr>
            <w:tcW w:w="0" w:type="auto"/>
            <w:tcBorders>
              <w:top w:val="single" w:sz="4" w:space="0" w:color="FFFFFF"/>
              <w:left w:val="single" w:sz="4" w:space="0" w:color="FFFFFF"/>
              <w:bottom w:val="nil"/>
              <w:right w:val="single" w:sz="4" w:space="0" w:color="FFFFFF"/>
            </w:tcBorders>
            <w:shd w:val="clear" w:color="000000" w:fill="BDD1E7"/>
            <w:vAlign w:val="center"/>
            <w:hideMark/>
          </w:tcPr>
          <w:p w14:paraId="349FCA0F" w14:textId="77777777" w:rsidR="00412864" w:rsidRPr="009744B5" w:rsidRDefault="00412864" w:rsidP="00E808A8">
            <w:pPr>
              <w:pStyle w:val="Listenabsatz"/>
              <w:spacing w:line="276" w:lineRule="auto"/>
            </w:pPr>
            <w:r w:rsidRPr="009744B5">
              <w:t>Information über die an der entsprechenden Grenze auktionierten Kapazitäten, den geltenden Auktionsregeln</w:t>
            </w:r>
            <w:r>
              <w:t xml:space="preserve"> und -produkten</w:t>
            </w:r>
            <w:r w:rsidRPr="009744B5">
              <w:t xml:space="preserve"> sowie Auktionsterminen einholen</w:t>
            </w:r>
          </w:p>
        </w:tc>
      </w:tr>
      <w:tr w:rsidR="00412864" w:rsidRPr="009744B5" w14:paraId="0788B890" w14:textId="77777777" w:rsidTr="00ED275C">
        <w:trPr>
          <w:trHeight w:val="255"/>
        </w:trPr>
        <w:tc>
          <w:tcPr>
            <w:tcW w:w="0" w:type="auto"/>
            <w:tcBorders>
              <w:top w:val="nil"/>
              <w:left w:val="single" w:sz="4" w:space="0" w:color="FFFFFF"/>
              <w:bottom w:val="nil"/>
              <w:right w:val="single" w:sz="4" w:space="0" w:color="FFFFFF"/>
            </w:tcBorders>
            <w:shd w:val="clear" w:color="000000" w:fill="DAE6F2"/>
            <w:noWrap/>
            <w:vAlign w:val="center"/>
            <w:hideMark/>
          </w:tcPr>
          <w:p w14:paraId="2988FE18" w14:textId="77777777" w:rsidR="00412864" w:rsidRPr="009744B5" w:rsidRDefault="00412864" w:rsidP="00E808A8">
            <w:pPr>
              <w:pStyle w:val="Listenabsatz"/>
              <w:spacing w:line="276" w:lineRule="auto"/>
            </w:pPr>
            <w:r w:rsidRPr="009744B5">
              <w:t>Registrierung zur Auktionsteilnahme über die zuständige Stelle</w:t>
            </w:r>
          </w:p>
        </w:tc>
      </w:tr>
    </w:tbl>
    <w:p w14:paraId="231D17A0" w14:textId="77777777" w:rsidR="0000091E" w:rsidRDefault="0000091E" w:rsidP="0000091E">
      <w:pPr>
        <w:rPr>
          <w:b/>
        </w:rPr>
      </w:pPr>
    </w:p>
    <w:p w14:paraId="2E200827" w14:textId="77777777" w:rsidR="0000091E" w:rsidRDefault="0000091E" w:rsidP="00744141">
      <w:pPr>
        <w:keepNext/>
      </w:pPr>
      <w:r w:rsidRPr="00A739A7">
        <w:rPr>
          <w:b/>
        </w:rPr>
        <w:t>Tipp</w:t>
      </w:r>
      <w:r w:rsidR="00CC31BD">
        <w:rPr>
          <w:b/>
        </w:rPr>
        <w:t>s</w:t>
      </w:r>
      <w:r>
        <w:rPr>
          <w:b/>
        </w:rPr>
        <w:t xml:space="preserve"> und Hinweise</w:t>
      </w:r>
      <w:r>
        <w:t>:</w:t>
      </w:r>
    </w:p>
    <w:p w14:paraId="1DE58E65" w14:textId="77777777" w:rsidR="0000091E" w:rsidRDefault="0000091E" w:rsidP="00744141">
      <w:pPr>
        <w:keepNext/>
      </w:pPr>
      <w:r>
        <w:t>Je nach Grenze bzw. zuständiger Stelle (TSO oder Auktionshaus) variieren die Registrierungs</w:t>
      </w:r>
      <w:r w:rsidR="00A67BB0">
        <w:softHyphen/>
      </w:r>
      <w:r w:rsidR="00CC31BD">
        <w:t>prozesse</w:t>
      </w:r>
      <w:r w:rsidR="00AA05BF">
        <w:t xml:space="preserve"> und</w:t>
      </w:r>
      <w:r w:rsidR="00CC31BD">
        <w:t xml:space="preserve"> der </w:t>
      </w:r>
      <w:r w:rsidR="00AA05BF">
        <w:t xml:space="preserve">damit einhergehende </w:t>
      </w:r>
      <w:r>
        <w:t>Zeitaufwand</w:t>
      </w:r>
      <w:r w:rsidR="00A67BB0">
        <w:t xml:space="preserve"> deutlich.</w:t>
      </w:r>
    </w:p>
    <w:p w14:paraId="0A948473" w14:textId="77777777" w:rsidR="0000091E" w:rsidRDefault="0000091E" w:rsidP="0000091E"/>
    <w:p w14:paraId="7EA9D563" w14:textId="0F99BBBA" w:rsidR="0000091E" w:rsidRDefault="0000091E" w:rsidP="0000091E">
      <w:pPr>
        <w:pStyle w:val="berschrift2"/>
        <w:keepNext/>
        <w:keepLines/>
        <w:widowControl/>
        <w:numPr>
          <w:ilvl w:val="0"/>
          <w:numId w:val="3"/>
        </w:numPr>
        <w:overflowPunct/>
        <w:autoSpaceDE/>
        <w:autoSpaceDN/>
        <w:adjustRightInd/>
        <w:spacing w:before="200" w:after="0" w:line="276" w:lineRule="auto"/>
        <w:jc w:val="left"/>
        <w:textAlignment w:val="auto"/>
      </w:pPr>
      <w:bookmarkStart w:id="13" w:name="_Toc379201258"/>
      <w:bookmarkStart w:id="14" w:name="_Toc31376445"/>
      <w:bookmarkStart w:id="15" w:name="_Toc353353905"/>
      <w:r>
        <w:t>Registrierung als Marktteilnehmer gemäß Art 9 REMIT</w:t>
      </w:r>
      <w:bookmarkEnd w:id="13"/>
      <w:bookmarkEnd w:id="14"/>
    </w:p>
    <w:p w14:paraId="546C3E36" w14:textId="77777777" w:rsidR="0000091E" w:rsidRPr="00933728" w:rsidRDefault="0000091E" w:rsidP="0000091E"/>
    <w:p w14:paraId="39A24A90" w14:textId="77777777" w:rsidR="00556B08" w:rsidRPr="00933728" w:rsidRDefault="00556B08" w:rsidP="00556B08">
      <w:pPr>
        <w:keepNext/>
        <w:rPr>
          <w:b/>
        </w:rPr>
      </w:pPr>
      <w:r w:rsidRPr="00933728">
        <w:rPr>
          <w:b/>
        </w:rPr>
        <w:t>Rechtliche Grundlage:</w:t>
      </w:r>
    </w:p>
    <w:p w14:paraId="22134331" w14:textId="77777777" w:rsidR="00556B08" w:rsidRDefault="00556B08" w:rsidP="00556B08">
      <w:r>
        <w:t>VO</w:t>
      </w:r>
      <w:r w:rsidRPr="00484E78">
        <w:t xml:space="preserve"> (EU) 1227/2011 des Europäischen Parlaments und des Rates vom 25. Oktober 2011 über die Integrität und Transparenz des Energiegroßhandelsmarkts </w:t>
      </w:r>
      <w:r>
        <w:t>(</w:t>
      </w:r>
      <w:r w:rsidRPr="00C0097D">
        <w:t>REMIT</w:t>
      </w:r>
      <w:r>
        <w:t>)</w:t>
      </w:r>
    </w:p>
    <w:p w14:paraId="58057036" w14:textId="77777777" w:rsidR="00556B08" w:rsidRPr="00226246" w:rsidRDefault="00556B08" w:rsidP="00556B08">
      <w:pPr>
        <w:rPr>
          <w:rStyle w:val="Hyperlink"/>
          <w:lang w:val="de-DE"/>
        </w:rPr>
      </w:pPr>
      <w:hyperlink r:id="rId43" w:history="1">
        <w:r w:rsidRPr="00226246">
          <w:rPr>
            <w:rStyle w:val="Hyperlink"/>
            <w:lang w:val="de-DE"/>
          </w:rPr>
          <w:t>Art 8 Abs 1 und Art 9 REMIT</w:t>
        </w:r>
      </w:hyperlink>
    </w:p>
    <w:p w14:paraId="63AEB769" w14:textId="77777777" w:rsidR="00556B08" w:rsidRDefault="00556B08" w:rsidP="00556B08">
      <w:pPr>
        <w:rPr>
          <w:lang w:val="de-DE"/>
        </w:rPr>
      </w:pPr>
      <w:hyperlink r:id="rId44" w:history="1">
        <w:r w:rsidRPr="004744BA">
          <w:rPr>
            <w:rStyle w:val="Hyperlink"/>
            <w:lang w:val="de-DE"/>
          </w:rPr>
          <w:t>Durchführungsverordnung (EU) Nr. 1348/2014</w:t>
        </w:r>
      </w:hyperlink>
      <w:r w:rsidRPr="004744BA">
        <w:rPr>
          <w:lang w:val="de-DE"/>
        </w:rPr>
        <w:t xml:space="preserve"> der Kommission vom 17. Dezember 2014 über die Datenmeldung gemäß Artikel 8 Absätze 2 und 6 der Verordnung (EU) Nr. 1227/2011</w:t>
      </w:r>
    </w:p>
    <w:p w14:paraId="40BF1149" w14:textId="77777777" w:rsidR="00556B08" w:rsidRPr="002453A9" w:rsidRDefault="00556B08" w:rsidP="00556B08">
      <w:pPr>
        <w:rPr>
          <w:rStyle w:val="Hyperlink"/>
          <w:lang w:val="en-GB"/>
        </w:rPr>
      </w:pPr>
      <w:r w:rsidRPr="002453A9">
        <w:rPr>
          <w:lang w:val="en-GB"/>
        </w:rPr>
        <w:t xml:space="preserve">ACER (Agency for the Cooperation of Energy Regulators) </w:t>
      </w:r>
      <w:hyperlink r:id="rId45" w:history="1">
        <w:proofErr w:type="spellStart"/>
        <w:r w:rsidRPr="002453A9">
          <w:rPr>
            <w:rStyle w:val="Hyperlink"/>
            <w:lang w:val="en-GB"/>
          </w:rPr>
          <w:t>Leitl</w:t>
        </w:r>
        <w:r>
          <w:rPr>
            <w:rStyle w:val="Hyperlink"/>
            <w:lang w:val="en-GB"/>
          </w:rPr>
          <w:t>i</w:t>
        </w:r>
        <w:r w:rsidRPr="002453A9">
          <w:rPr>
            <w:rStyle w:val="Hyperlink"/>
            <w:lang w:val="en-GB"/>
          </w:rPr>
          <w:t>nien</w:t>
        </w:r>
        <w:proofErr w:type="spellEnd"/>
      </w:hyperlink>
    </w:p>
    <w:p w14:paraId="7D06E4B3" w14:textId="77777777" w:rsidR="00556B08" w:rsidRDefault="00556B08" w:rsidP="00556B08">
      <w:pPr>
        <w:rPr>
          <w:lang w:val="de-DE"/>
        </w:rPr>
      </w:pPr>
      <w:hyperlink r:id="rId46" w:history="1">
        <w:r>
          <w:rPr>
            <w:rStyle w:val="Hyperlink"/>
            <w:lang w:val="de-DE"/>
          </w:rPr>
          <w:t>Großhandelsdatenverordnung (GHD-V</w:t>
        </w:r>
      </w:hyperlink>
      <w:r>
        <w:rPr>
          <w:lang w:val="de-DE"/>
        </w:rPr>
        <w:t>) und Erläuterungen</w:t>
      </w:r>
    </w:p>
    <w:p w14:paraId="0C80964D" w14:textId="77777777" w:rsidR="00556B08" w:rsidRPr="00CD6134" w:rsidRDefault="00556B08" w:rsidP="00556B08">
      <w:pPr>
        <w:rPr>
          <w:b/>
          <w:lang w:val="de-DE"/>
        </w:rPr>
      </w:pPr>
    </w:p>
    <w:p w14:paraId="3C12B169" w14:textId="77777777" w:rsidR="00556B08" w:rsidRDefault="00556B08" w:rsidP="00556B08">
      <w:pPr>
        <w:rPr>
          <w:b/>
        </w:rPr>
      </w:pPr>
      <w:r>
        <w:rPr>
          <w:b/>
        </w:rPr>
        <w:t>Kurzbeschreibung</w:t>
      </w:r>
    </w:p>
    <w:p w14:paraId="342CCDC8" w14:textId="77777777" w:rsidR="00556B08" w:rsidRDefault="00556B08" w:rsidP="00556B08">
      <w:r>
        <w:t xml:space="preserve">Als weitere Grundlage für die Transparenz und Integrität der Strom- und Gasmärkte in der EU wurde 2011 die REMIT-Verordnung erlassen. Durch REMIT werden nicht unmittelbar die Lieferung oder Förderung von Gas, sondern, in Ergänzung zur Finanzmarktaufsicht, der Handel mit Energiegroßhandelsprodukten überwacht. Diese umfassen auf einer allgemeinen Ebene Warenverträge zur Versorgung mit und zum Transport von Strom, Gas und deren Derivate. </w:t>
      </w:r>
    </w:p>
    <w:p w14:paraId="35DF33D2" w14:textId="77777777" w:rsidR="00556B08" w:rsidRDefault="00556B08" w:rsidP="00556B08">
      <w:r>
        <w:t xml:space="preserve">Die REMIT-Verordnung sieht umfassende Transparenzverpflichtungen zur Verhinderung von Marktmanipulation und Insiderhandel vor, die von den Marktteilnehmern eingehalten werden müssen. </w:t>
      </w:r>
    </w:p>
    <w:p w14:paraId="4ED3C1AD" w14:textId="77777777" w:rsidR="00556B08" w:rsidRDefault="00556B08" w:rsidP="00556B08"/>
    <w:p w14:paraId="2CB9E124" w14:textId="77777777" w:rsidR="00556B08" w:rsidRDefault="00556B08" w:rsidP="00556B08">
      <w:bookmarkStart w:id="16" w:name="_Hlk509514820"/>
      <w:r>
        <w:lastRenderedPageBreak/>
        <w:t xml:space="preserve">Die </w:t>
      </w:r>
      <w:hyperlink r:id="rId47" w:history="1">
        <w:proofErr w:type="spellStart"/>
        <w:r w:rsidRPr="004C7E58">
          <w:rPr>
            <w:rStyle w:val="Hyperlink"/>
          </w:rPr>
          <w:t>Durchführungs</w:t>
        </w:r>
        <w:r>
          <w:rPr>
            <w:rStyle w:val="Hyperlink"/>
          </w:rPr>
          <w:t>VO</w:t>
        </w:r>
        <w:proofErr w:type="spellEnd"/>
        <w:r>
          <w:rPr>
            <w:rStyle w:val="Hyperlink"/>
          </w:rPr>
          <w:t xml:space="preserve"> (EU)</w:t>
        </w:r>
        <w:r w:rsidRPr="004C7E58">
          <w:rPr>
            <w:rStyle w:val="Hyperlink"/>
          </w:rPr>
          <w:t xml:space="preserve"> 1348/2014</w:t>
        </w:r>
      </w:hyperlink>
      <w:r>
        <w:t xml:space="preserve"> der EU-Kommission spezifiziert die Datenmeldung an ACER. Zusätzlich gibt es auch eine entsprechende Großhandelsmarktaufsicht auf nationaler Ebene. So werden im Rahmen des </w:t>
      </w:r>
      <w:proofErr w:type="spellStart"/>
      <w:r>
        <w:t>ElWOG</w:t>
      </w:r>
      <w:proofErr w:type="spellEnd"/>
      <w:r>
        <w:t xml:space="preserve"> 2010 und des E-</w:t>
      </w:r>
      <w:proofErr w:type="spellStart"/>
      <w:r>
        <w:t>ControlG</w:t>
      </w:r>
      <w:proofErr w:type="spellEnd"/>
      <w:r>
        <w:t xml:space="preserve"> die Sanktionen und Befugnisse der nationalen Regulierungsbehörde näher bestimmt bzw. enthält die </w:t>
      </w:r>
      <w:bookmarkStart w:id="17" w:name="_Hlk506312016"/>
      <w:r>
        <w:fldChar w:fldCharType="begin"/>
      </w:r>
      <w:r>
        <w:instrText xml:space="preserve"> HYPERLINK "https://www.ris.bka.gv.at/GeltendeFassung.wxe?Abfrage=Bundesnormen&amp;Gesetzesnummer=20009976" </w:instrText>
      </w:r>
      <w:r>
        <w:fldChar w:fldCharType="separate"/>
      </w:r>
      <w:r w:rsidRPr="0082007C">
        <w:rPr>
          <w:rStyle w:val="Hyperlink"/>
        </w:rPr>
        <w:t>G</w:t>
      </w:r>
      <w:r>
        <w:rPr>
          <w:rStyle w:val="Hyperlink"/>
        </w:rPr>
        <w:t>roßhandelsdatenverordnung – GHD-</w:t>
      </w:r>
      <w:r w:rsidRPr="0082007C">
        <w:rPr>
          <w:rStyle w:val="Hyperlink"/>
        </w:rPr>
        <w:t>V</w:t>
      </w:r>
      <w:r>
        <w:rPr>
          <w:rStyle w:val="Hyperlink"/>
        </w:rPr>
        <w:fldChar w:fldCharType="end"/>
      </w:r>
      <w:bookmarkEnd w:id="17"/>
      <w:r>
        <w:t xml:space="preserve"> die zusätzlich an die E-Control zu meldenden bzw. für eine Dauer von fünf Jahren aufzubewahrenden Informationen.</w:t>
      </w:r>
    </w:p>
    <w:p w14:paraId="71FEED01" w14:textId="77777777" w:rsidR="00556B08" w:rsidRDefault="00556B08" w:rsidP="00556B08"/>
    <w:p w14:paraId="09545570" w14:textId="5BD731C7" w:rsidR="000965DE" w:rsidRDefault="00556B08" w:rsidP="00556B08">
      <w:r>
        <w:t xml:space="preserve">Als Marktteilnehmer sind Sie verpflichtet, sich </w:t>
      </w:r>
      <w:r w:rsidRPr="00B5694F">
        <w:t xml:space="preserve">gemäß </w:t>
      </w:r>
      <w:hyperlink r:id="rId48" w:history="1">
        <w:r w:rsidRPr="00DB1C97">
          <w:rPr>
            <w:rStyle w:val="Hyperlink"/>
          </w:rPr>
          <w:t xml:space="preserve">Art 9 </w:t>
        </w:r>
        <w:r>
          <w:rPr>
            <w:rStyle w:val="Hyperlink"/>
          </w:rPr>
          <w:t xml:space="preserve">Abs </w:t>
        </w:r>
        <w:r w:rsidRPr="00DB1C97">
          <w:rPr>
            <w:rStyle w:val="Hyperlink"/>
          </w:rPr>
          <w:t>1 REMIT</w:t>
        </w:r>
      </w:hyperlink>
      <w:r w:rsidRPr="00B5694F">
        <w:t xml:space="preserve"> bei der nationalen</w:t>
      </w:r>
      <w:r>
        <w:t xml:space="preserve"> </w:t>
      </w:r>
      <w:bookmarkEnd w:id="16"/>
      <w:r w:rsidRPr="00B5694F">
        <w:t xml:space="preserve">Regulierungsbehörde in dem Mitgliedsstaat, in dem </w:t>
      </w:r>
      <w:r>
        <w:t>Sie</w:t>
      </w:r>
      <w:r w:rsidRPr="00B5694F">
        <w:t xml:space="preserve"> </w:t>
      </w:r>
      <w:r>
        <w:t>Ihren</w:t>
      </w:r>
      <w:r w:rsidRPr="00B5694F">
        <w:t xml:space="preserve"> Sitz haben oder ansässig sind,</w:t>
      </w:r>
      <w:r>
        <w:t xml:space="preserve"> zu registrieren. Falls S</w:t>
      </w:r>
      <w:r w:rsidRPr="00B5694F">
        <w:t xml:space="preserve">ie nicht in der </w:t>
      </w:r>
      <w:r>
        <w:t>Europäischen Union I</w:t>
      </w:r>
      <w:r w:rsidRPr="00B5694F">
        <w:t>hren Sitz haben oder ansässig sind,</w:t>
      </w:r>
      <w:r>
        <w:t xml:space="preserve"> müssen Sie sich </w:t>
      </w:r>
      <w:r w:rsidRPr="00B5694F">
        <w:t xml:space="preserve">in dem Mitgliedsstaat </w:t>
      </w:r>
      <w:r>
        <w:t xml:space="preserve">registrieren, </w:t>
      </w:r>
      <w:r w:rsidRPr="00B5694F">
        <w:t xml:space="preserve">in dem </w:t>
      </w:r>
      <w:r>
        <w:t>Sie</w:t>
      </w:r>
      <w:r w:rsidRPr="00B5694F">
        <w:t xml:space="preserve"> </w:t>
      </w:r>
      <w:r>
        <w:t xml:space="preserve">hauptsächlich </w:t>
      </w:r>
      <w:r w:rsidRPr="00B5694F">
        <w:t xml:space="preserve">tätig sind, wenn </w:t>
      </w:r>
      <w:r>
        <w:t>Sie</w:t>
      </w:r>
      <w:r w:rsidRPr="00B5694F">
        <w:t xml:space="preserve"> Transaktionen abschließen, die gemäß </w:t>
      </w:r>
      <w:hyperlink r:id="rId49" w:history="1">
        <w:r w:rsidRPr="00DB1C97">
          <w:rPr>
            <w:rStyle w:val="Hyperlink"/>
          </w:rPr>
          <w:t>Artikel 8 (1) REMIT</w:t>
        </w:r>
      </w:hyperlink>
      <w:r w:rsidRPr="00B5694F">
        <w:t xml:space="preserve"> an ACER zu melden sind.</w:t>
      </w:r>
      <w:r>
        <w:t xml:space="preserve"> Für die REMIT-Registrierung als Marktteilnehmer in Österreich steht Ihnen das </w:t>
      </w:r>
      <w:r w:rsidRPr="000F76E3">
        <w:t>Registrierungsportal CEREMP (</w:t>
      </w:r>
      <w:proofErr w:type="spellStart"/>
      <w:r w:rsidRPr="000F76E3">
        <w:t>Centralised</w:t>
      </w:r>
      <w:proofErr w:type="spellEnd"/>
      <w:r w:rsidRPr="000F76E3">
        <w:t xml:space="preserve"> European Register </w:t>
      </w:r>
      <w:proofErr w:type="spellStart"/>
      <w:r w:rsidRPr="000F76E3">
        <w:t>for</w:t>
      </w:r>
      <w:proofErr w:type="spellEnd"/>
      <w:r w:rsidRPr="000F76E3">
        <w:t xml:space="preserve"> Energy Market </w:t>
      </w:r>
      <w:proofErr w:type="spellStart"/>
      <w:r w:rsidRPr="000F76E3">
        <w:t>Participants</w:t>
      </w:r>
      <w:proofErr w:type="spellEnd"/>
      <w:r w:rsidRPr="000F76E3">
        <w:t>)</w:t>
      </w:r>
      <w:r>
        <w:t xml:space="preserve"> der Regulierungsbehörde zur Verfügung.</w:t>
      </w:r>
    </w:p>
    <w:p w14:paraId="035E566C" w14:textId="77777777" w:rsidR="0000091E" w:rsidRDefault="0000091E" w:rsidP="0000091E"/>
    <w:p w14:paraId="55263191" w14:textId="77777777" w:rsidR="0000091E" w:rsidRDefault="00D1140B" w:rsidP="0000091E">
      <w:pPr>
        <w:rPr>
          <w:b/>
        </w:rPr>
      </w:pPr>
      <w:r>
        <w:rPr>
          <w:b/>
        </w:rPr>
        <w:t>Handlungsanweisung</w:t>
      </w:r>
    </w:p>
    <w:p w14:paraId="35487AB1" w14:textId="0F35C570" w:rsidR="000965DE" w:rsidRDefault="0000091E" w:rsidP="000F5E6A">
      <w:r>
        <w:t>Sie müssen sich als Markteilnehmer gemäß REMIT registrieren.</w:t>
      </w:r>
      <w:r w:rsidR="008C26D4">
        <w:t xml:space="preserve"> </w:t>
      </w:r>
      <w:r w:rsidR="00831CBD">
        <w:t xml:space="preserve">Weitere </w:t>
      </w:r>
      <w:r w:rsidR="000965DE">
        <w:t xml:space="preserve">Informationen </w:t>
      </w:r>
      <w:r w:rsidR="00831CBD">
        <w:t xml:space="preserve">und alle notwendigen Dokumente </w:t>
      </w:r>
      <w:r w:rsidR="000965DE">
        <w:t xml:space="preserve">erhalten Sie im </w:t>
      </w:r>
      <w:hyperlink r:id="rId50" w:history="1">
        <w:r w:rsidR="000965DE" w:rsidRPr="00383F95">
          <w:rPr>
            <w:rStyle w:val="Hyperlink"/>
          </w:rPr>
          <w:t>REMIT Registrierungsbereich</w:t>
        </w:r>
      </w:hyperlink>
      <w:r w:rsidR="000965DE">
        <w:t xml:space="preserve"> auf der Homepage der nationalen Regulierungsbehörde.</w:t>
      </w:r>
    </w:p>
    <w:p w14:paraId="3897AB2C" w14:textId="77777777" w:rsidR="000965DE" w:rsidRDefault="000965DE" w:rsidP="000965DE">
      <w:r>
        <w:t xml:space="preserve">Kontakt: </w:t>
      </w:r>
      <w:hyperlink r:id="rId51" w:history="1">
        <w:r w:rsidRPr="00744E89">
          <w:rPr>
            <w:rStyle w:val="Hyperlink"/>
          </w:rPr>
          <w:t>remit-registrierung@e-control.at</w:t>
        </w:r>
      </w:hyperlink>
      <w:r>
        <w:t>.</w:t>
      </w:r>
    </w:p>
    <w:p w14:paraId="2D8E8CC7" w14:textId="77777777" w:rsidR="000965DE" w:rsidRDefault="000965DE" w:rsidP="0000091E"/>
    <w:tbl>
      <w:tblPr>
        <w:tblW w:w="0" w:type="auto"/>
        <w:tblInd w:w="55" w:type="dxa"/>
        <w:tblCellMar>
          <w:left w:w="70" w:type="dxa"/>
          <w:right w:w="70" w:type="dxa"/>
        </w:tblCellMar>
        <w:tblLook w:val="04A0" w:firstRow="1" w:lastRow="0" w:firstColumn="1" w:lastColumn="0" w:noHBand="0" w:noVBand="1"/>
      </w:tblPr>
      <w:tblGrid>
        <w:gridCol w:w="8109"/>
        <w:gridCol w:w="1398"/>
      </w:tblGrid>
      <w:tr w:rsidR="0000091E" w:rsidRPr="00EF4434" w14:paraId="2AEAFCC6" w14:textId="77777777" w:rsidTr="00E808A8">
        <w:trPr>
          <w:trHeight w:val="255"/>
        </w:trPr>
        <w:tc>
          <w:tcPr>
            <w:tcW w:w="0" w:type="auto"/>
            <w:tcBorders>
              <w:top w:val="nil"/>
              <w:left w:val="nil"/>
              <w:bottom w:val="nil"/>
              <w:right w:val="nil"/>
            </w:tcBorders>
            <w:shd w:val="clear" w:color="000000" w:fill="95B3D7"/>
            <w:noWrap/>
            <w:vAlign w:val="center"/>
            <w:hideMark/>
          </w:tcPr>
          <w:p w14:paraId="50BB874F" w14:textId="77777777" w:rsidR="0000091E" w:rsidRPr="00EF4434" w:rsidRDefault="0000091E" w:rsidP="00E808A8">
            <w:pPr>
              <w:spacing w:line="276" w:lineRule="auto"/>
              <w:rPr>
                <w:b/>
              </w:rPr>
            </w:pPr>
            <w:r w:rsidRPr="00EF4434">
              <w:rPr>
                <w:b/>
              </w:rPr>
              <w:t xml:space="preserve">Checkliste </w:t>
            </w:r>
            <w:r w:rsidR="00CC31BD">
              <w:rPr>
                <w:b/>
              </w:rPr>
              <w:t>–</w:t>
            </w:r>
            <w:r w:rsidRPr="00EF4434">
              <w:rPr>
                <w:b/>
              </w:rPr>
              <w:t xml:space="preserve"> REMIT – Registrierung</w:t>
            </w:r>
          </w:p>
        </w:tc>
        <w:tc>
          <w:tcPr>
            <w:tcW w:w="0" w:type="auto"/>
            <w:tcBorders>
              <w:top w:val="nil"/>
              <w:left w:val="nil"/>
              <w:bottom w:val="nil"/>
              <w:right w:val="nil"/>
            </w:tcBorders>
            <w:shd w:val="clear" w:color="000000" w:fill="95B3D7"/>
            <w:noWrap/>
            <w:vAlign w:val="center"/>
            <w:hideMark/>
          </w:tcPr>
          <w:p w14:paraId="4542B372" w14:textId="77777777" w:rsidR="0000091E" w:rsidRPr="00EF4434" w:rsidRDefault="00DE5C6F" w:rsidP="00E808A8">
            <w:pPr>
              <w:pStyle w:val="Listenabsatz"/>
              <w:spacing w:line="276" w:lineRule="auto"/>
              <w:rPr>
                <w:b/>
              </w:rPr>
            </w:pPr>
            <w:r>
              <w:rPr>
                <w:b/>
              </w:rPr>
              <w:t>AT*</w:t>
            </w:r>
          </w:p>
        </w:tc>
      </w:tr>
      <w:tr w:rsidR="002C1C87" w:rsidRPr="009744B5" w14:paraId="5FA91482" w14:textId="77777777" w:rsidTr="002C1C87">
        <w:trPr>
          <w:trHeight w:val="255"/>
        </w:trPr>
        <w:tc>
          <w:tcPr>
            <w:tcW w:w="0" w:type="auto"/>
            <w:tcBorders>
              <w:top w:val="single" w:sz="4" w:space="0" w:color="FFFFFF"/>
              <w:left w:val="single" w:sz="4" w:space="0" w:color="FFFFFF"/>
              <w:bottom w:val="nil"/>
              <w:right w:val="single" w:sz="4" w:space="0" w:color="FFFFFF"/>
            </w:tcBorders>
            <w:shd w:val="clear" w:color="000000" w:fill="BDD1E7"/>
            <w:vAlign w:val="center"/>
            <w:hideMark/>
          </w:tcPr>
          <w:p w14:paraId="13F00209" w14:textId="1CE40AB1" w:rsidR="002C1C87" w:rsidRPr="009744B5" w:rsidRDefault="00831CBD" w:rsidP="00E808A8">
            <w:pPr>
              <w:pStyle w:val="Listenabsatz"/>
              <w:spacing w:line="276" w:lineRule="auto"/>
            </w:pPr>
            <w:r>
              <w:t xml:space="preserve">Vollmacht zur Ermächtigung der REMIT-Registrierung von einem zeichnungsberechtigten Vertreter des Marktteilnehmers einholen </w:t>
            </w:r>
          </w:p>
        </w:tc>
        <w:tc>
          <w:tcPr>
            <w:tcW w:w="0" w:type="auto"/>
            <w:vMerge w:val="restart"/>
            <w:tcBorders>
              <w:top w:val="single" w:sz="4" w:space="0" w:color="FFFFFF"/>
              <w:left w:val="nil"/>
              <w:right w:val="single" w:sz="4" w:space="0" w:color="FFFFFF"/>
            </w:tcBorders>
            <w:shd w:val="clear" w:color="000000" w:fill="BDD1E7"/>
            <w:noWrap/>
            <w:vAlign w:val="center"/>
          </w:tcPr>
          <w:p w14:paraId="798ADF65" w14:textId="1508120D" w:rsidR="002C1C87" w:rsidRPr="009744B5" w:rsidRDefault="002C1C87" w:rsidP="00E808A8">
            <w:pPr>
              <w:pStyle w:val="Listenabsatz"/>
              <w:spacing w:line="276" w:lineRule="auto"/>
            </w:pPr>
            <w:r>
              <w:t>M</w:t>
            </w:r>
            <w:r w:rsidR="00AB3477">
              <w:t>in</w:t>
            </w:r>
            <w:r>
              <w:t xml:space="preserve"> 5</w:t>
            </w:r>
          </w:p>
        </w:tc>
      </w:tr>
      <w:tr w:rsidR="002C1C87" w:rsidRPr="009744B5" w14:paraId="42F29C12" w14:textId="77777777" w:rsidTr="002C1C87">
        <w:trPr>
          <w:trHeight w:val="255"/>
        </w:trPr>
        <w:tc>
          <w:tcPr>
            <w:tcW w:w="0" w:type="auto"/>
            <w:tcBorders>
              <w:top w:val="single" w:sz="4" w:space="0" w:color="FFFFFF"/>
              <w:left w:val="single" w:sz="4" w:space="0" w:color="FFFFFF"/>
              <w:bottom w:val="nil"/>
              <w:right w:val="single" w:sz="4" w:space="0" w:color="FFFFFF"/>
            </w:tcBorders>
            <w:shd w:val="clear" w:color="000000" w:fill="BDD1E7"/>
            <w:vAlign w:val="center"/>
          </w:tcPr>
          <w:p w14:paraId="7484B1F0" w14:textId="737AFA32" w:rsidR="002C1C87" w:rsidRPr="009744B5" w:rsidRDefault="00831CBD" w:rsidP="00E808A8">
            <w:pPr>
              <w:pStyle w:val="Listenabsatz"/>
              <w:spacing w:line="276" w:lineRule="auto"/>
            </w:pPr>
            <w:r w:rsidRPr="000A61D4">
              <w:t>Benutzeraccount im CEREMP-System a</w:t>
            </w:r>
            <w:r w:rsidRPr="00304FF9">
              <w:t>nleg</w:t>
            </w:r>
            <w:r>
              <w:t>en und aktivieren</w:t>
            </w:r>
          </w:p>
        </w:tc>
        <w:tc>
          <w:tcPr>
            <w:tcW w:w="0" w:type="auto"/>
            <w:vMerge/>
            <w:tcBorders>
              <w:left w:val="nil"/>
              <w:bottom w:val="nil"/>
              <w:right w:val="single" w:sz="4" w:space="0" w:color="FFFFFF"/>
            </w:tcBorders>
            <w:shd w:val="clear" w:color="000000" w:fill="BDD1E7"/>
            <w:noWrap/>
            <w:vAlign w:val="center"/>
          </w:tcPr>
          <w:p w14:paraId="21AB47EA" w14:textId="77777777" w:rsidR="002C1C87" w:rsidRPr="009744B5" w:rsidRDefault="002C1C87" w:rsidP="00E808A8">
            <w:pPr>
              <w:pStyle w:val="Listenabsatz"/>
              <w:spacing w:line="276" w:lineRule="auto"/>
            </w:pPr>
          </w:p>
        </w:tc>
      </w:tr>
      <w:tr w:rsidR="002C1C87" w:rsidRPr="009744B5" w14:paraId="624B8B29" w14:textId="77777777" w:rsidTr="00955CF5">
        <w:trPr>
          <w:trHeight w:val="255"/>
        </w:trPr>
        <w:tc>
          <w:tcPr>
            <w:tcW w:w="0" w:type="auto"/>
            <w:tcBorders>
              <w:top w:val="nil"/>
              <w:left w:val="single" w:sz="4" w:space="0" w:color="FFFFFF"/>
              <w:bottom w:val="nil"/>
              <w:right w:val="single" w:sz="4" w:space="0" w:color="FFFFFF"/>
            </w:tcBorders>
            <w:shd w:val="clear" w:color="auto" w:fill="DBE5F1" w:themeFill="accent1" w:themeFillTint="33"/>
            <w:noWrap/>
            <w:vAlign w:val="center"/>
            <w:hideMark/>
          </w:tcPr>
          <w:p w14:paraId="705A43FD" w14:textId="75B1F6BA" w:rsidR="002C1C87" w:rsidRPr="009744B5" w:rsidRDefault="002C1C87" w:rsidP="00E808A8">
            <w:pPr>
              <w:pStyle w:val="Listenabsatz"/>
              <w:spacing w:line="276" w:lineRule="auto"/>
            </w:pPr>
            <w:r w:rsidRPr="009744B5">
              <w:t>5 Abschnitte der REMIT</w:t>
            </w:r>
            <w:r w:rsidR="00831CBD">
              <w:t>-</w:t>
            </w:r>
            <w:r w:rsidRPr="009744B5">
              <w:t>Registrierung ausfüllen</w:t>
            </w:r>
            <w:r w:rsidR="00831CBD">
              <w:t xml:space="preserve"> und einreichen</w:t>
            </w:r>
          </w:p>
        </w:tc>
        <w:tc>
          <w:tcPr>
            <w:tcW w:w="0" w:type="auto"/>
            <w:vMerge w:val="restart"/>
            <w:tcBorders>
              <w:top w:val="nil"/>
              <w:left w:val="nil"/>
              <w:right w:val="single" w:sz="4" w:space="0" w:color="FFFFFF"/>
            </w:tcBorders>
            <w:shd w:val="clear" w:color="auto" w:fill="DBE5F1" w:themeFill="accent1" w:themeFillTint="33"/>
            <w:noWrap/>
            <w:vAlign w:val="center"/>
          </w:tcPr>
          <w:p w14:paraId="51EF3EDD" w14:textId="71A93F1C" w:rsidR="002C1C87" w:rsidRPr="009744B5" w:rsidRDefault="002C1C87" w:rsidP="00E808A8">
            <w:pPr>
              <w:pStyle w:val="Listenabsatz"/>
              <w:spacing w:line="276" w:lineRule="auto"/>
            </w:pPr>
            <w:r>
              <w:t>M</w:t>
            </w:r>
            <w:r w:rsidR="00AB3477">
              <w:t>in</w:t>
            </w:r>
            <w:r>
              <w:t xml:space="preserve"> 5</w:t>
            </w:r>
          </w:p>
        </w:tc>
      </w:tr>
      <w:tr w:rsidR="002C1C87" w:rsidRPr="009744B5" w14:paraId="6E6E3581" w14:textId="77777777" w:rsidTr="00955CF5">
        <w:trPr>
          <w:trHeight w:val="255"/>
        </w:trPr>
        <w:tc>
          <w:tcPr>
            <w:tcW w:w="0" w:type="auto"/>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center"/>
          </w:tcPr>
          <w:p w14:paraId="07268CCC" w14:textId="5D845D20" w:rsidR="002C1C87" w:rsidRPr="009744B5" w:rsidRDefault="002C1C87" w:rsidP="00E808A8">
            <w:pPr>
              <w:pStyle w:val="Listenabsatz"/>
              <w:spacing w:line="276" w:lineRule="auto"/>
            </w:pPr>
            <w:r w:rsidRPr="009744B5">
              <w:t>ACER</w:t>
            </w:r>
            <w:r w:rsidR="00831CBD">
              <w:t>-</w:t>
            </w:r>
            <w:r w:rsidRPr="009744B5">
              <w:t xml:space="preserve">Code </w:t>
            </w:r>
            <w:r w:rsidR="00831CBD">
              <w:t>zur Marktteilnehmeridentifikation übernehmen</w:t>
            </w:r>
          </w:p>
        </w:tc>
        <w:tc>
          <w:tcPr>
            <w:tcW w:w="0" w:type="auto"/>
            <w:vMerge/>
            <w:tcBorders>
              <w:left w:val="nil"/>
              <w:bottom w:val="single" w:sz="4" w:space="0" w:color="FFFFFF"/>
              <w:right w:val="single" w:sz="4" w:space="0" w:color="FFFFFF"/>
            </w:tcBorders>
            <w:shd w:val="clear" w:color="auto" w:fill="DBE5F1" w:themeFill="accent1" w:themeFillTint="33"/>
            <w:noWrap/>
            <w:vAlign w:val="center"/>
          </w:tcPr>
          <w:p w14:paraId="6CF42CF9" w14:textId="77777777" w:rsidR="002C1C87" w:rsidRPr="009744B5" w:rsidRDefault="002C1C87" w:rsidP="00E808A8">
            <w:pPr>
              <w:pStyle w:val="Listenabsatz"/>
              <w:spacing w:line="276" w:lineRule="auto"/>
            </w:pPr>
          </w:p>
        </w:tc>
      </w:tr>
      <w:tr w:rsidR="0000091E" w:rsidRPr="009744B5" w14:paraId="26F6A7E6" w14:textId="77777777" w:rsidTr="00955CF5">
        <w:trPr>
          <w:trHeight w:val="255"/>
        </w:trPr>
        <w:tc>
          <w:tcPr>
            <w:tcW w:w="0" w:type="auto"/>
            <w:tcBorders>
              <w:top w:val="nil"/>
              <w:left w:val="single" w:sz="4" w:space="0" w:color="FFFFFF"/>
              <w:bottom w:val="nil"/>
              <w:right w:val="single" w:sz="4" w:space="0" w:color="FFFFFF"/>
            </w:tcBorders>
            <w:shd w:val="clear" w:color="auto" w:fill="B8CCE4" w:themeFill="accent1" w:themeFillTint="66"/>
            <w:noWrap/>
            <w:vAlign w:val="center"/>
            <w:hideMark/>
          </w:tcPr>
          <w:p w14:paraId="1507892E" w14:textId="77777777" w:rsidR="0000091E" w:rsidRPr="009744B5" w:rsidRDefault="0000091E" w:rsidP="00955CF5">
            <w:pPr>
              <w:pStyle w:val="Listenabsatz"/>
              <w:spacing w:line="276" w:lineRule="auto"/>
              <w:ind w:left="0"/>
            </w:pPr>
            <w:r w:rsidRPr="00B52D24">
              <w:rPr>
                <w:b/>
              </w:rPr>
              <w:t>Durchschnitt Gesamtzeit</w:t>
            </w:r>
            <w:r w:rsidRPr="009744B5">
              <w:t xml:space="preserve"> (ev. kürzer als Summe AT da Prozesse parallel)</w:t>
            </w:r>
          </w:p>
        </w:tc>
        <w:tc>
          <w:tcPr>
            <w:tcW w:w="0" w:type="auto"/>
            <w:tcBorders>
              <w:top w:val="nil"/>
              <w:left w:val="nil"/>
              <w:bottom w:val="nil"/>
              <w:right w:val="single" w:sz="4" w:space="0" w:color="FFFFFF"/>
            </w:tcBorders>
            <w:shd w:val="clear" w:color="auto" w:fill="B8CCE4" w:themeFill="accent1" w:themeFillTint="66"/>
            <w:noWrap/>
            <w:vAlign w:val="center"/>
          </w:tcPr>
          <w:p w14:paraId="5D26722A" w14:textId="77777777" w:rsidR="0000091E" w:rsidRPr="009744B5" w:rsidRDefault="002C1C87" w:rsidP="00E808A8">
            <w:pPr>
              <w:pStyle w:val="Listenabsatz"/>
              <w:spacing w:line="276" w:lineRule="auto"/>
            </w:pPr>
            <w:r>
              <w:t>5</w:t>
            </w:r>
          </w:p>
        </w:tc>
      </w:tr>
      <w:tr w:rsidR="0000091E" w:rsidRPr="009744B5" w14:paraId="1A104235" w14:textId="77777777" w:rsidTr="00E808A8">
        <w:trPr>
          <w:trHeight w:val="270"/>
        </w:trPr>
        <w:tc>
          <w:tcPr>
            <w:tcW w:w="0" w:type="auto"/>
            <w:tcBorders>
              <w:top w:val="nil"/>
              <w:left w:val="single" w:sz="4" w:space="0" w:color="FFFFFF"/>
              <w:bottom w:val="single" w:sz="4" w:space="0" w:color="FFFFFF"/>
              <w:right w:val="single" w:sz="4" w:space="0" w:color="FFFFFF"/>
            </w:tcBorders>
            <w:shd w:val="clear" w:color="000000" w:fill="FFFFFF"/>
            <w:vAlign w:val="center"/>
            <w:hideMark/>
          </w:tcPr>
          <w:p w14:paraId="5F93F8F2" w14:textId="77777777" w:rsidR="0000091E" w:rsidRPr="009744B5" w:rsidRDefault="0000091E" w:rsidP="00E808A8">
            <w:pPr>
              <w:pStyle w:val="Listenabsatz"/>
              <w:spacing w:line="276" w:lineRule="auto"/>
              <w:ind w:left="0"/>
              <w:rPr>
                <w:sz w:val="16"/>
                <w:szCs w:val="16"/>
              </w:rPr>
            </w:pPr>
            <w:r w:rsidRPr="009744B5">
              <w:rPr>
                <w:sz w:val="16"/>
                <w:szCs w:val="16"/>
              </w:rPr>
              <w:t>*</w:t>
            </w:r>
            <w:r w:rsidR="006F1A1F">
              <w:rPr>
                <w:rFonts w:cs="Arial"/>
                <w:sz w:val="16"/>
                <w:szCs w:val="16"/>
              </w:rPr>
              <w:t xml:space="preserve"> AT= Arbeitstage sind </w:t>
            </w:r>
            <w:r w:rsidR="006F1A1F" w:rsidRPr="00EF4434">
              <w:rPr>
                <w:rFonts w:cs="Arial"/>
                <w:sz w:val="16"/>
                <w:szCs w:val="16"/>
              </w:rPr>
              <w:t>Erfahrungswerte als Orientierungshilfe</w:t>
            </w:r>
          </w:p>
        </w:tc>
        <w:tc>
          <w:tcPr>
            <w:tcW w:w="0" w:type="auto"/>
            <w:tcBorders>
              <w:top w:val="nil"/>
              <w:left w:val="nil"/>
              <w:bottom w:val="nil"/>
              <w:right w:val="nil"/>
            </w:tcBorders>
            <w:shd w:val="clear" w:color="auto" w:fill="auto"/>
            <w:noWrap/>
            <w:vAlign w:val="center"/>
            <w:hideMark/>
          </w:tcPr>
          <w:p w14:paraId="4AC24650" w14:textId="77777777" w:rsidR="0000091E" w:rsidRPr="009744B5" w:rsidRDefault="0000091E" w:rsidP="00E808A8">
            <w:pPr>
              <w:pStyle w:val="Listenabsatz"/>
              <w:spacing w:line="276" w:lineRule="auto"/>
              <w:rPr>
                <w:sz w:val="16"/>
                <w:szCs w:val="16"/>
              </w:rPr>
            </w:pPr>
          </w:p>
        </w:tc>
      </w:tr>
    </w:tbl>
    <w:p w14:paraId="7CC8A83E" w14:textId="77777777" w:rsidR="0000091E" w:rsidRDefault="0000091E" w:rsidP="0000091E"/>
    <w:p w14:paraId="38EB4D2F" w14:textId="77777777" w:rsidR="0000091E" w:rsidRPr="00E96459" w:rsidRDefault="0000091E" w:rsidP="007C3459">
      <w:pPr>
        <w:pStyle w:val="berschrift2"/>
        <w:keepNext/>
        <w:keepLines/>
        <w:widowControl/>
        <w:numPr>
          <w:ilvl w:val="0"/>
          <w:numId w:val="3"/>
        </w:numPr>
        <w:overflowPunct/>
        <w:autoSpaceDE/>
        <w:autoSpaceDN/>
        <w:adjustRightInd/>
        <w:spacing w:before="200" w:after="0" w:line="276" w:lineRule="auto"/>
        <w:jc w:val="left"/>
        <w:textAlignment w:val="auto"/>
      </w:pPr>
      <w:bookmarkStart w:id="18" w:name="_Toc415045408"/>
      <w:bookmarkStart w:id="19" w:name="_Toc415045976"/>
      <w:bookmarkStart w:id="20" w:name="_Toc415053134"/>
      <w:bookmarkStart w:id="21" w:name="_Toc415053196"/>
      <w:bookmarkStart w:id="22" w:name="_Toc415129385"/>
      <w:bookmarkStart w:id="23" w:name="_Toc415213569"/>
      <w:bookmarkStart w:id="24" w:name="_Toc419284213"/>
      <w:bookmarkStart w:id="25" w:name="_Allgemeine_Lieferbedingungen"/>
      <w:bookmarkStart w:id="26" w:name="_Toc379201259"/>
      <w:bookmarkStart w:id="27" w:name="_Toc31376446"/>
      <w:bookmarkEnd w:id="18"/>
      <w:bookmarkEnd w:id="19"/>
      <w:bookmarkEnd w:id="20"/>
      <w:bookmarkEnd w:id="21"/>
      <w:bookmarkEnd w:id="22"/>
      <w:bookmarkEnd w:id="23"/>
      <w:bookmarkEnd w:id="24"/>
      <w:bookmarkEnd w:id="25"/>
      <w:r>
        <w:t>Allgemeine Lieferbedingungen</w:t>
      </w:r>
      <w:bookmarkEnd w:id="15"/>
      <w:bookmarkEnd w:id="26"/>
      <w:bookmarkEnd w:id="27"/>
    </w:p>
    <w:p w14:paraId="35FCC4E3" w14:textId="77777777" w:rsidR="0000091E" w:rsidRDefault="0000091E" w:rsidP="007C3459">
      <w:pPr>
        <w:keepNext/>
      </w:pPr>
    </w:p>
    <w:p w14:paraId="3D1A16E0" w14:textId="77777777" w:rsidR="0000091E" w:rsidRPr="00C4793B" w:rsidRDefault="0000091E" w:rsidP="007C3459">
      <w:pPr>
        <w:keepNext/>
        <w:rPr>
          <w:b/>
        </w:rPr>
      </w:pPr>
      <w:r w:rsidRPr="00C4793B">
        <w:rPr>
          <w:b/>
        </w:rPr>
        <w:t>Rechtliche Grundlage</w:t>
      </w:r>
    </w:p>
    <w:p w14:paraId="2CEC641F" w14:textId="77777777" w:rsidR="0000091E" w:rsidRDefault="00F26E1C" w:rsidP="0000091E">
      <w:hyperlink r:id="rId52" w:history="1">
        <w:r w:rsidR="0000091E" w:rsidRPr="00C72CA8">
          <w:rPr>
            <w:rStyle w:val="Hyperlink"/>
          </w:rPr>
          <w:t xml:space="preserve">§ 80 </w:t>
        </w:r>
        <w:proofErr w:type="spellStart"/>
        <w:r w:rsidR="0000091E" w:rsidRPr="00C72CA8">
          <w:rPr>
            <w:rStyle w:val="Hyperlink"/>
          </w:rPr>
          <w:t>ElWOG</w:t>
        </w:r>
        <w:proofErr w:type="spellEnd"/>
        <w:r w:rsidR="0000091E" w:rsidRPr="00C72CA8">
          <w:rPr>
            <w:rStyle w:val="Hyperlink"/>
          </w:rPr>
          <w:t xml:space="preserve"> 2010,</w:t>
        </w:r>
      </w:hyperlink>
      <w:r w:rsidR="0000091E">
        <w:t xml:space="preserve"> </w:t>
      </w:r>
    </w:p>
    <w:p w14:paraId="03C9BD73" w14:textId="77777777" w:rsidR="00C50D4D" w:rsidRDefault="00F26E1C" w:rsidP="0000091E">
      <w:hyperlink r:id="rId53" w:history="1">
        <w:r w:rsidR="00C50D4D" w:rsidRPr="00C72CA8">
          <w:rPr>
            <w:rStyle w:val="Hyperlink"/>
          </w:rPr>
          <w:t xml:space="preserve">§ 98 Z 2,3 </w:t>
        </w:r>
        <w:proofErr w:type="spellStart"/>
        <w:r w:rsidR="00C50D4D" w:rsidRPr="00C72CA8">
          <w:rPr>
            <w:rStyle w:val="Hyperlink"/>
          </w:rPr>
          <w:t>ElWOG</w:t>
        </w:r>
        <w:proofErr w:type="spellEnd"/>
        <w:r w:rsidR="00C50D4D" w:rsidRPr="00C72CA8">
          <w:rPr>
            <w:rStyle w:val="Hyperlink"/>
          </w:rPr>
          <w:t xml:space="preserve"> 2010 (</w:t>
        </w:r>
      </w:hyperlink>
      <w:r w:rsidR="00C50D4D" w:rsidRPr="00445135">
        <w:t xml:space="preserve">verweist auf </w:t>
      </w:r>
      <w:r w:rsidR="00C50D4D">
        <w:t>Landesgesetze)</w:t>
      </w:r>
    </w:p>
    <w:p w14:paraId="6D75A37D" w14:textId="77777777" w:rsidR="0000091E" w:rsidRDefault="00F26E1C" w:rsidP="0000091E">
      <w:hyperlink r:id="rId54" w:history="1">
        <w:r w:rsidR="00624FB8">
          <w:rPr>
            <w:rStyle w:val="Hyperlink"/>
          </w:rPr>
          <w:t>Landesgesetze</w:t>
        </w:r>
      </w:hyperlink>
      <w:r w:rsidR="0000091E">
        <w:t>, die jeweils nähere Bestimmungen vorsehen können.</w:t>
      </w:r>
    </w:p>
    <w:p w14:paraId="550DF3E3" w14:textId="77777777" w:rsidR="006072F4" w:rsidRDefault="00F26E1C" w:rsidP="0000091E">
      <w:hyperlink r:id="rId55" w:history="1">
        <w:r w:rsidR="008469B1" w:rsidRPr="00C72CA8">
          <w:rPr>
            <w:rStyle w:val="Hyperlink"/>
          </w:rPr>
          <w:t>§ 1</w:t>
        </w:r>
        <w:r w:rsidR="00C50D4D" w:rsidRPr="00C72CA8">
          <w:rPr>
            <w:rStyle w:val="Hyperlink"/>
          </w:rPr>
          <w:t xml:space="preserve">2 </w:t>
        </w:r>
        <w:r w:rsidR="008469B1" w:rsidRPr="00C72CA8">
          <w:rPr>
            <w:rStyle w:val="Hyperlink"/>
          </w:rPr>
          <w:t xml:space="preserve">Abs 1 Z 4 </w:t>
        </w:r>
        <w:r w:rsidR="00C50D4D" w:rsidRPr="00C72CA8">
          <w:rPr>
            <w:rStyle w:val="Hyperlink"/>
          </w:rPr>
          <w:t>E-</w:t>
        </w:r>
        <w:proofErr w:type="spellStart"/>
        <w:r w:rsidR="00C50D4D" w:rsidRPr="00C72CA8">
          <w:rPr>
            <w:rStyle w:val="Hyperlink"/>
          </w:rPr>
          <w:t>ControlG</w:t>
        </w:r>
        <w:proofErr w:type="spellEnd"/>
        <w:r w:rsidR="00C50D4D" w:rsidRPr="00C72CA8">
          <w:rPr>
            <w:rStyle w:val="Hyperlink"/>
          </w:rPr>
          <w:t>,</w:t>
        </w:r>
      </w:hyperlink>
    </w:p>
    <w:p w14:paraId="13522083" w14:textId="77777777" w:rsidR="008469B1" w:rsidRDefault="008469B1" w:rsidP="0000091E">
      <w:pPr>
        <w:rPr>
          <w:b/>
        </w:rPr>
      </w:pPr>
    </w:p>
    <w:p w14:paraId="50B5FB49" w14:textId="77777777" w:rsidR="0000091E" w:rsidRPr="00C4793B" w:rsidRDefault="0000091E" w:rsidP="00136CBE">
      <w:pPr>
        <w:keepNext/>
        <w:rPr>
          <w:b/>
        </w:rPr>
      </w:pPr>
      <w:r w:rsidRPr="00C4793B">
        <w:rPr>
          <w:b/>
        </w:rPr>
        <w:t>Kurzbeschreibung</w:t>
      </w:r>
    </w:p>
    <w:p w14:paraId="7075F41C" w14:textId="4640BA96" w:rsidR="0000091E" w:rsidRDefault="0000091E" w:rsidP="00136CBE">
      <w:pPr>
        <w:keepNext/>
      </w:pPr>
      <w:r>
        <w:t>Lieferanten</w:t>
      </w:r>
      <w:r w:rsidRPr="003A492F">
        <w:t xml:space="preserve"> haben Allgemeine Geschäftsbedingungen für die Belieferung mit elektrischer Energie</w:t>
      </w:r>
      <w:r>
        <w:t xml:space="preserve"> </w:t>
      </w:r>
      <w:r w:rsidRPr="00803A42">
        <w:t xml:space="preserve">für </w:t>
      </w:r>
      <w:r w:rsidRPr="00803A42">
        <w:rPr>
          <w:b/>
        </w:rPr>
        <w:t>Kunden, deren Verbrauch nicht über einen Lastprofilzähler gemessen wird,</w:t>
      </w:r>
      <w:r w:rsidRPr="003A492F">
        <w:t xml:space="preserve"> zu erstellen</w:t>
      </w:r>
      <w:r>
        <w:t xml:space="preserve"> (Allgemeine Lieferbedingungen)</w:t>
      </w:r>
      <w:r w:rsidRPr="003A492F">
        <w:t xml:space="preserve">. Die Allgemeinen </w:t>
      </w:r>
      <w:r w:rsidR="000D0F81">
        <w:t>Liefer</w:t>
      </w:r>
      <w:r w:rsidR="000D0F81" w:rsidRPr="003A492F">
        <w:t xml:space="preserve">bedingungen </w:t>
      </w:r>
      <w:r w:rsidRPr="003A492F">
        <w:t>sowie ihre Änderungen sind der Regulierungsbehörde vor ihrem In-Kraft-Treten in elektronischer Form anzuzeigen und in gee</w:t>
      </w:r>
      <w:r>
        <w:t>igneter Form zu veröffentlichen (</w:t>
      </w:r>
      <w:hyperlink r:id="rId56" w:history="1">
        <w:r w:rsidRPr="00DB1C97">
          <w:rPr>
            <w:rStyle w:val="Hyperlink"/>
          </w:rPr>
          <w:t xml:space="preserve">§ 80 Abs 1 </w:t>
        </w:r>
        <w:proofErr w:type="spellStart"/>
        <w:r w:rsidRPr="00DB1C97">
          <w:rPr>
            <w:rStyle w:val="Hyperlink"/>
          </w:rPr>
          <w:t>ElWOG</w:t>
        </w:r>
        <w:proofErr w:type="spellEnd"/>
        <w:r w:rsidRPr="00DB1C97">
          <w:rPr>
            <w:rStyle w:val="Hyperlink"/>
          </w:rPr>
          <w:t xml:space="preserve"> 2010</w:t>
        </w:r>
      </w:hyperlink>
      <w:r>
        <w:t>), widrigenfalls Verwaltungsstrafen drohen</w:t>
      </w:r>
      <w:r w:rsidR="00445135" w:rsidRPr="00445135">
        <w:t xml:space="preserve"> (</w:t>
      </w:r>
      <w:hyperlink r:id="rId57" w:history="1">
        <w:r w:rsidR="00445135" w:rsidRPr="00DB1C97">
          <w:rPr>
            <w:rStyle w:val="Hyperlink"/>
          </w:rPr>
          <w:t>§ 98 Z 2</w:t>
        </w:r>
        <w:r w:rsidR="00CD7DC8">
          <w:rPr>
            <w:rStyle w:val="Hyperlink"/>
          </w:rPr>
          <w:t>,3</w:t>
        </w:r>
        <w:r w:rsidR="00445135" w:rsidRPr="00DB1C97">
          <w:rPr>
            <w:rStyle w:val="Hyperlink"/>
          </w:rPr>
          <w:t xml:space="preserve"> </w:t>
        </w:r>
        <w:proofErr w:type="spellStart"/>
        <w:r w:rsidR="00445135" w:rsidRPr="00DB1C97">
          <w:rPr>
            <w:rStyle w:val="Hyperlink"/>
          </w:rPr>
          <w:t>ElWOG</w:t>
        </w:r>
        <w:proofErr w:type="spellEnd"/>
        <w:r w:rsidR="00445135" w:rsidRPr="00DB1C97">
          <w:rPr>
            <w:rStyle w:val="Hyperlink"/>
          </w:rPr>
          <w:t xml:space="preserve"> 2010</w:t>
        </w:r>
      </w:hyperlink>
      <w:r w:rsidR="00445135" w:rsidRPr="00445135">
        <w:t xml:space="preserve"> verweist auf </w:t>
      </w:r>
      <w:r w:rsidR="00624FB8">
        <w:t>Landesgesetze</w:t>
      </w:r>
      <w:r w:rsidR="00445135" w:rsidRPr="00445135">
        <w:t>).</w:t>
      </w:r>
      <w:r>
        <w:t xml:space="preserve"> Für andere Kunden besteht keine Anzeigepflicht, jedoch sind auch in diesem Fall – unbeschadet des Entfalls einer Anzeigepflicht – andere gesetzliche Bestimmungen, insbesondere des </w:t>
      </w:r>
      <w:proofErr w:type="spellStart"/>
      <w:r>
        <w:t>ElWOG</w:t>
      </w:r>
      <w:proofErr w:type="spellEnd"/>
      <w:r>
        <w:t xml:space="preserve"> 2010</w:t>
      </w:r>
      <w:r w:rsidR="00473A11">
        <w:t xml:space="preserve"> sowie der jeweiligen Landesgesetze</w:t>
      </w:r>
      <w:r>
        <w:t>, zu beachten und einzuhalten.</w:t>
      </w:r>
    </w:p>
    <w:p w14:paraId="7822D925" w14:textId="77777777" w:rsidR="006072F4" w:rsidRDefault="006072F4" w:rsidP="0000091E"/>
    <w:p w14:paraId="6BF14DC2" w14:textId="77CE7B2D" w:rsidR="0000091E" w:rsidRDefault="0000091E" w:rsidP="0000091E">
      <w:r w:rsidRPr="003A492F">
        <w:t xml:space="preserve">Änderungen der </w:t>
      </w:r>
      <w:r>
        <w:t>Allgemeinen Lieferbedingungen</w:t>
      </w:r>
      <w:r w:rsidRPr="003A492F">
        <w:t xml:space="preserve"> sind nu</w:t>
      </w:r>
      <w:r>
        <w:t>r nach Maßgabe des Allgemeinen B</w:t>
      </w:r>
      <w:r w:rsidRPr="003A492F">
        <w:t>ürgerlichen Gesetzbuchs und des Kons</w:t>
      </w:r>
      <w:r>
        <w:t xml:space="preserve">umentenschutzgesetzes zulässig und </w:t>
      </w:r>
      <w:r w:rsidRPr="003A492F">
        <w:t>de</w:t>
      </w:r>
      <w:r w:rsidR="00345DD1">
        <w:t>n</w:t>
      </w:r>
      <w:r w:rsidRPr="003A492F">
        <w:t xml:space="preserve"> Kunden schriftlich in einem persönlich an </w:t>
      </w:r>
      <w:r w:rsidR="00990ADE">
        <w:t>s</w:t>
      </w:r>
      <w:r>
        <w:t>ie</w:t>
      </w:r>
      <w:r w:rsidRPr="003A492F">
        <w:t xml:space="preserve"> gerichteten Schreiben oder auf Wunsch elektronisch mitzuteilen. In diesem Schreiben sind die Änderungen nachvollziehbar wiederzugeben. Wird das Vertragsverhältnis für den Fall, dass der Kunde den Änderungen widerspricht, beendet, endet das Vertragsverhältnis mit dem nach einer Frist von 3 Monaten folgenden Monatsletzten</w:t>
      </w:r>
      <w:r>
        <w:t xml:space="preserve"> </w:t>
      </w:r>
      <w:hyperlink r:id="rId58" w:history="1">
        <w:r w:rsidRPr="00C46FB6">
          <w:rPr>
            <w:rStyle w:val="Hyperlink"/>
          </w:rPr>
          <w:t xml:space="preserve">(§ 80 Abs 2 </w:t>
        </w:r>
        <w:proofErr w:type="spellStart"/>
        <w:r w:rsidRPr="00C46FB6">
          <w:rPr>
            <w:rStyle w:val="Hyperlink"/>
          </w:rPr>
          <w:t>ElWOG</w:t>
        </w:r>
        <w:proofErr w:type="spellEnd"/>
        <w:r w:rsidRPr="00C46FB6">
          <w:rPr>
            <w:rStyle w:val="Hyperlink"/>
          </w:rPr>
          <w:t xml:space="preserve"> 2010</w:t>
        </w:r>
      </w:hyperlink>
      <w:r>
        <w:t>)</w:t>
      </w:r>
      <w:r w:rsidRPr="003A492F">
        <w:t>.</w:t>
      </w:r>
    </w:p>
    <w:p w14:paraId="23410C48" w14:textId="77777777" w:rsidR="006072F4" w:rsidRDefault="006072F4" w:rsidP="0000091E"/>
    <w:p w14:paraId="1180E2ED" w14:textId="77777777" w:rsidR="0000091E" w:rsidRDefault="0000091E" w:rsidP="0000091E">
      <w:r>
        <w:t>Weiters ist ein bestimmter Mindestinhalt zu beachten</w:t>
      </w:r>
      <w:r w:rsidR="00CD7DC8">
        <w:t xml:space="preserve"> </w:t>
      </w:r>
      <w:r w:rsidR="00552B3A">
        <w:t xml:space="preserve">und es </w:t>
      </w:r>
      <w:r w:rsidR="00F509E4">
        <w:t>bestehen bestimmte Informations</w:t>
      </w:r>
      <w:r w:rsidR="00036B08">
        <w:softHyphen/>
      </w:r>
      <w:r w:rsidR="00F509E4">
        <w:t>pflichten</w:t>
      </w:r>
      <w:r>
        <w:t xml:space="preserve"> </w:t>
      </w:r>
      <w:hyperlink r:id="rId59" w:history="1">
        <w:r w:rsidRPr="00C46FB6">
          <w:rPr>
            <w:rStyle w:val="Hyperlink"/>
          </w:rPr>
          <w:t xml:space="preserve">(§ 80 Abs 3 </w:t>
        </w:r>
        <w:r w:rsidR="00F509E4" w:rsidRPr="00C46FB6">
          <w:rPr>
            <w:rStyle w:val="Hyperlink"/>
          </w:rPr>
          <w:t xml:space="preserve">und 4 </w:t>
        </w:r>
        <w:proofErr w:type="spellStart"/>
        <w:r w:rsidRPr="00C46FB6">
          <w:rPr>
            <w:rStyle w:val="Hyperlink"/>
          </w:rPr>
          <w:t>ElWOG</w:t>
        </w:r>
        <w:proofErr w:type="spellEnd"/>
        <w:r w:rsidRPr="00C46FB6">
          <w:rPr>
            <w:rStyle w:val="Hyperlink"/>
          </w:rPr>
          <w:t xml:space="preserve"> 2010</w:t>
        </w:r>
      </w:hyperlink>
      <w:r>
        <w:t>).</w:t>
      </w:r>
      <w:r w:rsidRPr="00AD5C6C">
        <w:t xml:space="preserve"> </w:t>
      </w:r>
    </w:p>
    <w:p w14:paraId="188E5D7D" w14:textId="77777777" w:rsidR="00B52D24" w:rsidRDefault="00B52D24" w:rsidP="0000091E"/>
    <w:p w14:paraId="28A55183" w14:textId="77777777" w:rsidR="007C5808" w:rsidRDefault="0000091E" w:rsidP="0000091E">
      <w:r w:rsidRPr="00AD5C6C">
        <w:t>Die Regulierungskommission der E-Control ist</w:t>
      </w:r>
      <w:r>
        <w:t xml:space="preserve"> für die Prüfung der Allgemeinen Lieferbedingungen zuständig. Verstoßen diese</w:t>
      </w:r>
      <w:r w:rsidRPr="00AD5C6C">
        <w:t xml:space="preserve"> gegen ein gesetzliches Verbot oder g</w:t>
      </w:r>
      <w:r>
        <w:t xml:space="preserve">egen die guten Sitten kann eine </w:t>
      </w:r>
      <w:r w:rsidRPr="00AD5C6C">
        <w:t xml:space="preserve">Untersagung der Anwendung </w:t>
      </w:r>
      <w:r>
        <w:t>erfolgen</w:t>
      </w:r>
      <w:r w:rsidRPr="00AD5C6C">
        <w:t xml:space="preserve"> </w:t>
      </w:r>
      <w:r w:rsidRPr="00C0097D">
        <w:t>(</w:t>
      </w:r>
      <w:hyperlink r:id="rId60" w:history="1">
        <w:r w:rsidRPr="00C0097D">
          <w:rPr>
            <w:rStyle w:val="Hyperlink"/>
          </w:rPr>
          <w:t>§ 12 Abs 1 Z 4 E-ControlG</w:t>
        </w:r>
      </w:hyperlink>
      <w:r>
        <w:t xml:space="preserve">). Beispiele für untersagte Bestimmungen finden sich unter: </w:t>
      </w:r>
      <w:hyperlink r:id="rId61" w:history="1">
        <w:r w:rsidR="007C5808" w:rsidRPr="00FF5E35">
          <w:rPr>
            <w:rStyle w:val="Hyperlink"/>
          </w:rPr>
          <w:t>https://www.e-control.at/recht/entscheidungen/entscheidungen-regulierungskommission</w:t>
        </w:r>
      </w:hyperlink>
    </w:p>
    <w:p w14:paraId="6934E4E8" w14:textId="77777777" w:rsidR="00B52D24" w:rsidRDefault="00B52D24" w:rsidP="0000091E"/>
    <w:p w14:paraId="2D3E7BB6" w14:textId="4848B372" w:rsidR="0000091E" w:rsidRDefault="0000091E" w:rsidP="0000091E">
      <w:r>
        <w:t xml:space="preserve">Mit der Anzeige wird das Prüfungsverfahren vor der Regulierungskommission eingeleitet – die Sitzungen der Regulierungskommission finden in verschiedenen Zeitabständen statt. Es wird empfohlen die Allgemeinen Lieferbedingungen zumindest </w:t>
      </w:r>
      <w:r w:rsidR="00C46FB6">
        <w:t>zwei</w:t>
      </w:r>
      <w:r>
        <w:t xml:space="preserve"> Monate vor geplanter Inkraftsetzung anzuzeigen, da die Regulierungskommission bei einer Prüfung der angezeigten Allgemeinen Lieferbedingungen noch Änderungen für erforderlich halten kann. Werden keine Änderungen (mehr) für erforderlich gehalten, wird das Verfahren eingestellt. Hierbei wird jedoch</w:t>
      </w:r>
      <w:r w:rsidR="00CD7DC8">
        <w:t xml:space="preserve"> darauf</w:t>
      </w:r>
      <w:r>
        <w:t xml:space="preserve"> hingewiesen</w:t>
      </w:r>
      <w:r w:rsidR="00CD7DC8">
        <w:t>,</w:t>
      </w:r>
      <w:r>
        <w:t xml:space="preserve"> dass trotz der Einstellung ein Verfahren vor den ordentlichen Gerichten, </w:t>
      </w:r>
      <w:proofErr w:type="spellStart"/>
      <w:r>
        <w:t>zB</w:t>
      </w:r>
      <w:proofErr w:type="spellEnd"/>
      <w:r>
        <w:t xml:space="preserve"> </w:t>
      </w:r>
      <w:r>
        <w:lastRenderedPageBreak/>
        <w:t>im Wege von Verbandsklagen möglich ist. Werden für erforderlich gehaltene Änderungen nicht vorgenommen</w:t>
      </w:r>
      <w:r w:rsidR="007C6EFD">
        <w:t>,</w:t>
      </w:r>
      <w:r>
        <w:t xml:space="preserve"> erfolgt die Untersagung der entsprechenden Formulierungen mit Bescheid.</w:t>
      </w:r>
    </w:p>
    <w:p w14:paraId="511CD061" w14:textId="77777777" w:rsidR="00EF4434" w:rsidRDefault="00EF4434" w:rsidP="0000091E"/>
    <w:p w14:paraId="5972FC38" w14:textId="77777777" w:rsidR="0000091E" w:rsidRDefault="00D1140B" w:rsidP="0000091E">
      <w:pPr>
        <w:rPr>
          <w:b/>
        </w:rPr>
      </w:pPr>
      <w:r>
        <w:rPr>
          <w:b/>
        </w:rPr>
        <w:t>Handlungsanweisung</w:t>
      </w:r>
    </w:p>
    <w:p w14:paraId="2B42C829" w14:textId="77777777" w:rsidR="0000091E" w:rsidRDefault="0000091E" w:rsidP="0000091E">
      <w:r w:rsidRPr="00ED592D">
        <w:t>Vor der Anzeige bei der Regulierungskommission wird für die Erstellung eines Entwurfs der Allgemeinen Lieferbedingungen dringend empfohlen, sich mit den einschlägigen energie</w:t>
      </w:r>
      <w:r w:rsidR="00036B08">
        <w:softHyphen/>
      </w:r>
      <w:r w:rsidRPr="00ED592D">
        <w:t>rechtlichen sowie zivilrechtlichen, insbesondere konsumentenschutzrechtlichen Vorschriften vertraut zu machen bzw. diese Vorschriften vorab zu berücksichtigen.</w:t>
      </w:r>
    </w:p>
    <w:p w14:paraId="3C05A23D" w14:textId="77777777" w:rsidR="00036B08" w:rsidRDefault="00036B08" w:rsidP="0000091E"/>
    <w:p w14:paraId="3F2DD3BB" w14:textId="77777777" w:rsidR="0000091E" w:rsidRDefault="00445135" w:rsidP="0000091E">
      <w:r>
        <w:t xml:space="preserve">Es </w:t>
      </w:r>
      <w:r w:rsidR="0000091E" w:rsidRPr="00ED592D">
        <w:t>wird auch dringend empfohlen, vor einer Anzeige bei der Regulierungsbehörde, die auf den Websites der Unternehmen zumeist veröffentlichten Allgemeinen Lieferbedingungen näher zu betrachten, wobei jedoch auch zuletzt in Kraft getretene Gesetzesn</w:t>
      </w:r>
      <w:r w:rsidR="0000091E">
        <w:t>ovellen zu berücksichtigen sind.</w:t>
      </w:r>
    </w:p>
    <w:p w14:paraId="5C20710B" w14:textId="77777777" w:rsidR="006072F4" w:rsidRDefault="006072F4" w:rsidP="0000091E"/>
    <w:p w14:paraId="639D911B" w14:textId="59429061" w:rsidR="0000091E" w:rsidRDefault="0000091E" w:rsidP="0000091E">
      <w:r>
        <w:t>V</w:t>
      </w:r>
      <w:r w:rsidRPr="00ED592D">
        <w:t>or einer offiziellen Anzeige bzw. Einreichung bei der Regulierungskommission besteht die Möglichkeit einer informellen Vorabstimmung des Entwurfes mit de</w:t>
      </w:r>
      <w:r w:rsidR="00CD7DC8">
        <w:t>m</w:t>
      </w:r>
      <w:r w:rsidRPr="00ED592D">
        <w:t xml:space="preserve"> für die Vorbereitung der Kommissionssitzungen zuständigen Ansprechp</w:t>
      </w:r>
      <w:r w:rsidR="007C6EFD">
        <w:t>erson</w:t>
      </w:r>
      <w:r w:rsidRPr="00ED592D">
        <w:t>, i</w:t>
      </w:r>
      <w:r w:rsidR="00C13883">
        <w:t>n deren</w:t>
      </w:r>
      <w:r w:rsidRPr="00ED592D">
        <w:t xml:space="preserve"> Rahmen noch allfällige kritische Punkte besprochen werden können. Die Anmerkungen bzw. Änderungsvorschläge der genannten Ansprechp</w:t>
      </w:r>
      <w:r w:rsidR="007C6EFD">
        <w:t>erson</w:t>
      </w:r>
      <w:r w:rsidRPr="00ED592D">
        <w:t xml:space="preserve"> sind in jedem Fall rein informelle Anmerkungen aus persönlicher Sicht, da allein die Regulierungskommission über die </w:t>
      </w:r>
      <w:r w:rsidR="007C6EFD">
        <w:t>allfällige Untersagung</w:t>
      </w:r>
      <w:r w:rsidRPr="00ED592D">
        <w:t xml:space="preserve"> der Allgemeinen Lieferbedingungen bzw. allfällige Änderungserfordernisse entscheidet.</w:t>
      </w:r>
    </w:p>
    <w:p w14:paraId="2ED4980B" w14:textId="77777777" w:rsidR="0008678F" w:rsidRDefault="0008678F">
      <w:pPr>
        <w:spacing w:line="240" w:lineRule="auto"/>
        <w:rPr>
          <w:b/>
        </w:rPr>
      </w:pPr>
    </w:p>
    <w:tbl>
      <w:tblPr>
        <w:tblW w:w="0" w:type="auto"/>
        <w:tblInd w:w="55" w:type="dxa"/>
        <w:tblCellMar>
          <w:left w:w="70" w:type="dxa"/>
          <w:right w:w="70" w:type="dxa"/>
        </w:tblCellMar>
        <w:tblLook w:val="04A0" w:firstRow="1" w:lastRow="0" w:firstColumn="1" w:lastColumn="0" w:noHBand="0" w:noVBand="1"/>
      </w:tblPr>
      <w:tblGrid>
        <w:gridCol w:w="8161"/>
        <w:gridCol w:w="1346"/>
      </w:tblGrid>
      <w:tr w:rsidR="0000091E" w:rsidRPr="00EF4434" w14:paraId="672E5770" w14:textId="77777777" w:rsidTr="00E808A8">
        <w:trPr>
          <w:trHeight w:val="255"/>
        </w:trPr>
        <w:tc>
          <w:tcPr>
            <w:tcW w:w="0" w:type="auto"/>
            <w:tcBorders>
              <w:top w:val="nil"/>
              <w:left w:val="nil"/>
              <w:bottom w:val="nil"/>
              <w:right w:val="nil"/>
            </w:tcBorders>
            <w:shd w:val="clear" w:color="000000" w:fill="95B3D7"/>
            <w:noWrap/>
            <w:vAlign w:val="center"/>
            <w:hideMark/>
          </w:tcPr>
          <w:p w14:paraId="2CD9B2AB" w14:textId="77777777" w:rsidR="0000091E" w:rsidRPr="00EF4434" w:rsidRDefault="0000091E" w:rsidP="00E808A8">
            <w:pPr>
              <w:pStyle w:val="Listenabsatz"/>
              <w:spacing w:line="276" w:lineRule="auto"/>
              <w:ind w:left="0"/>
              <w:rPr>
                <w:b/>
              </w:rPr>
            </w:pPr>
            <w:r w:rsidRPr="00EF4434">
              <w:rPr>
                <w:b/>
              </w:rPr>
              <w:t xml:space="preserve">Checkliste </w:t>
            </w:r>
            <w:r w:rsidR="00C03CDD">
              <w:rPr>
                <w:b/>
              </w:rPr>
              <w:t>–</w:t>
            </w:r>
            <w:r w:rsidRPr="00EF4434">
              <w:rPr>
                <w:b/>
              </w:rPr>
              <w:t xml:space="preserve"> Allgemeine Lieferbedingungen</w:t>
            </w:r>
          </w:p>
        </w:tc>
        <w:tc>
          <w:tcPr>
            <w:tcW w:w="0" w:type="auto"/>
            <w:tcBorders>
              <w:top w:val="nil"/>
              <w:left w:val="nil"/>
              <w:bottom w:val="nil"/>
              <w:right w:val="nil"/>
            </w:tcBorders>
            <w:shd w:val="clear" w:color="000000" w:fill="95B3D7"/>
            <w:noWrap/>
            <w:vAlign w:val="bottom"/>
            <w:hideMark/>
          </w:tcPr>
          <w:p w14:paraId="36A80757" w14:textId="77777777" w:rsidR="0000091E" w:rsidRPr="00EF4434" w:rsidRDefault="0000091E" w:rsidP="005D3299">
            <w:pPr>
              <w:pStyle w:val="Listenabsatz"/>
              <w:spacing w:line="276" w:lineRule="auto"/>
              <w:rPr>
                <w:b/>
              </w:rPr>
            </w:pPr>
            <w:r w:rsidRPr="00EF4434">
              <w:rPr>
                <w:b/>
              </w:rPr>
              <w:t>AT*</w:t>
            </w:r>
          </w:p>
        </w:tc>
      </w:tr>
      <w:tr w:rsidR="0000091E" w:rsidRPr="009744B5" w14:paraId="0BD045BB" w14:textId="77777777" w:rsidTr="0027275E">
        <w:trPr>
          <w:trHeight w:val="825"/>
        </w:trPr>
        <w:tc>
          <w:tcPr>
            <w:tcW w:w="0" w:type="auto"/>
            <w:tcBorders>
              <w:top w:val="single" w:sz="4" w:space="0" w:color="FFFFFF"/>
              <w:left w:val="single" w:sz="4" w:space="0" w:color="FFFFFF"/>
              <w:bottom w:val="single" w:sz="4" w:space="0" w:color="FFFFFF"/>
              <w:right w:val="single" w:sz="4" w:space="0" w:color="FFFFFF"/>
            </w:tcBorders>
            <w:shd w:val="clear" w:color="000000" w:fill="BDD1E7"/>
            <w:vAlign w:val="center"/>
            <w:hideMark/>
          </w:tcPr>
          <w:p w14:paraId="77DD64C9" w14:textId="77777777" w:rsidR="0000091E" w:rsidRPr="009744B5" w:rsidRDefault="0000091E" w:rsidP="005D3299">
            <w:pPr>
              <w:pStyle w:val="Listenabsatz"/>
              <w:spacing w:line="276" w:lineRule="auto"/>
              <w:ind w:left="371"/>
            </w:pPr>
            <w:r w:rsidRPr="009744B5">
              <w:t>Vertraut machen mit den einschlägigen energierechtlichen sowie zivilrechtlichen, insbesondere konsumentenschutzrechtlichen Bestimmungen</w:t>
            </w:r>
          </w:p>
        </w:tc>
        <w:tc>
          <w:tcPr>
            <w:tcW w:w="0" w:type="auto"/>
            <w:tcBorders>
              <w:top w:val="single" w:sz="4" w:space="0" w:color="FFFFFF"/>
              <w:left w:val="nil"/>
              <w:bottom w:val="single" w:sz="4" w:space="0" w:color="FFFFFF"/>
              <w:right w:val="single" w:sz="4" w:space="0" w:color="FFFFFF"/>
            </w:tcBorders>
            <w:shd w:val="clear" w:color="000000" w:fill="BDD1E7"/>
            <w:noWrap/>
            <w:vAlign w:val="center"/>
            <w:hideMark/>
          </w:tcPr>
          <w:p w14:paraId="037071F4" w14:textId="77777777" w:rsidR="0000091E" w:rsidRPr="009744B5" w:rsidRDefault="00EF4434" w:rsidP="005D3299">
            <w:pPr>
              <w:pStyle w:val="Listenabsatz"/>
              <w:spacing w:line="276" w:lineRule="auto"/>
            </w:pPr>
            <w:r>
              <w:t>5</w:t>
            </w:r>
          </w:p>
        </w:tc>
      </w:tr>
      <w:tr w:rsidR="0000091E" w:rsidRPr="009744B5" w14:paraId="1F08A25E" w14:textId="77777777" w:rsidTr="0027275E">
        <w:trPr>
          <w:trHeight w:val="510"/>
        </w:trPr>
        <w:tc>
          <w:tcPr>
            <w:tcW w:w="0" w:type="auto"/>
            <w:tcBorders>
              <w:top w:val="nil"/>
              <w:left w:val="single" w:sz="4" w:space="0" w:color="FFFFFF"/>
              <w:bottom w:val="single" w:sz="4" w:space="0" w:color="FFFFFF"/>
              <w:right w:val="single" w:sz="4" w:space="0" w:color="FFFFFF"/>
            </w:tcBorders>
            <w:shd w:val="clear" w:color="000000" w:fill="DAE6F2"/>
            <w:vAlign w:val="center"/>
            <w:hideMark/>
          </w:tcPr>
          <w:p w14:paraId="500FD13A" w14:textId="77777777" w:rsidR="0000091E" w:rsidRPr="009744B5" w:rsidRDefault="0000091E" w:rsidP="005D3299">
            <w:pPr>
              <w:pStyle w:val="Listenabsatz"/>
              <w:spacing w:line="276" w:lineRule="auto"/>
              <w:ind w:left="371"/>
            </w:pPr>
            <w:r w:rsidRPr="009744B5">
              <w:t>Durchsicht der bereits angezeigten Allgemeinen Lieferbedingungen (ALBs) auf den Websites der Unternehmen.</w:t>
            </w:r>
          </w:p>
        </w:tc>
        <w:tc>
          <w:tcPr>
            <w:tcW w:w="0" w:type="auto"/>
            <w:tcBorders>
              <w:top w:val="nil"/>
              <w:left w:val="nil"/>
              <w:bottom w:val="single" w:sz="4" w:space="0" w:color="FFFFFF"/>
              <w:right w:val="single" w:sz="4" w:space="0" w:color="FFFFFF"/>
            </w:tcBorders>
            <w:shd w:val="clear" w:color="000000" w:fill="DAE6F2"/>
            <w:noWrap/>
            <w:vAlign w:val="center"/>
            <w:hideMark/>
          </w:tcPr>
          <w:p w14:paraId="09DA840D" w14:textId="77777777" w:rsidR="0000091E" w:rsidRPr="009744B5" w:rsidRDefault="00EF4434" w:rsidP="005D3299">
            <w:pPr>
              <w:pStyle w:val="Listenabsatz"/>
              <w:spacing w:line="276" w:lineRule="auto"/>
            </w:pPr>
            <w:r>
              <w:t>1</w:t>
            </w:r>
          </w:p>
        </w:tc>
      </w:tr>
      <w:tr w:rsidR="0000091E" w:rsidRPr="009744B5" w14:paraId="0D573CB4" w14:textId="77777777" w:rsidTr="0027275E">
        <w:trPr>
          <w:trHeight w:val="255"/>
        </w:trPr>
        <w:tc>
          <w:tcPr>
            <w:tcW w:w="0" w:type="auto"/>
            <w:tcBorders>
              <w:top w:val="nil"/>
              <w:left w:val="single" w:sz="4" w:space="0" w:color="FFFFFF"/>
              <w:bottom w:val="single" w:sz="4" w:space="0" w:color="FFFFFF"/>
              <w:right w:val="single" w:sz="4" w:space="0" w:color="FFFFFF"/>
            </w:tcBorders>
            <w:shd w:val="clear" w:color="000000" w:fill="BDD1E7"/>
            <w:vAlign w:val="center"/>
            <w:hideMark/>
          </w:tcPr>
          <w:p w14:paraId="2949BA1B" w14:textId="77777777" w:rsidR="0000091E" w:rsidRPr="009744B5" w:rsidRDefault="0000091E" w:rsidP="005D3299">
            <w:pPr>
              <w:pStyle w:val="Listenabsatz"/>
              <w:spacing w:line="276" w:lineRule="auto"/>
              <w:ind w:left="371"/>
            </w:pPr>
            <w:r w:rsidRPr="009744B5">
              <w:t>Durchsicht zuletzt in Kraft getretener Gesetzesnovellen</w:t>
            </w:r>
          </w:p>
        </w:tc>
        <w:tc>
          <w:tcPr>
            <w:tcW w:w="0" w:type="auto"/>
            <w:tcBorders>
              <w:top w:val="nil"/>
              <w:left w:val="nil"/>
              <w:bottom w:val="single" w:sz="4" w:space="0" w:color="FFFFFF"/>
              <w:right w:val="single" w:sz="4" w:space="0" w:color="FFFFFF"/>
            </w:tcBorders>
            <w:shd w:val="clear" w:color="000000" w:fill="BDD1E7"/>
            <w:noWrap/>
            <w:vAlign w:val="center"/>
            <w:hideMark/>
          </w:tcPr>
          <w:p w14:paraId="0C755C01" w14:textId="77777777" w:rsidR="0000091E" w:rsidRPr="009744B5" w:rsidRDefault="00EF4434" w:rsidP="005D3299">
            <w:pPr>
              <w:pStyle w:val="Listenabsatz"/>
              <w:spacing w:line="276" w:lineRule="auto"/>
            </w:pPr>
            <w:r>
              <w:t>1</w:t>
            </w:r>
          </w:p>
        </w:tc>
      </w:tr>
      <w:tr w:rsidR="0000091E" w:rsidRPr="009744B5" w14:paraId="59485810" w14:textId="77777777" w:rsidTr="0027275E">
        <w:trPr>
          <w:trHeight w:val="330"/>
        </w:trPr>
        <w:tc>
          <w:tcPr>
            <w:tcW w:w="0" w:type="auto"/>
            <w:tcBorders>
              <w:top w:val="nil"/>
              <w:left w:val="single" w:sz="4" w:space="0" w:color="FFFFFF"/>
              <w:bottom w:val="single" w:sz="4" w:space="0" w:color="FFFFFF"/>
              <w:right w:val="single" w:sz="4" w:space="0" w:color="FFFFFF"/>
            </w:tcBorders>
            <w:shd w:val="clear" w:color="000000" w:fill="DAE6F2"/>
            <w:noWrap/>
            <w:vAlign w:val="center"/>
            <w:hideMark/>
          </w:tcPr>
          <w:p w14:paraId="66C06A8E" w14:textId="77777777" w:rsidR="0000091E" w:rsidRPr="009744B5" w:rsidRDefault="0000091E" w:rsidP="005D3299">
            <w:pPr>
              <w:pStyle w:val="Listenabsatz"/>
              <w:spacing w:line="276" w:lineRule="auto"/>
              <w:ind w:left="371"/>
            </w:pPr>
            <w:r w:rsidRPr="009744B5">
              <w:t>Erstellung des ersten Entwurfs der Allgemeinen Lieferbedingungen</w:t>
            </w:r>
          </w:p>
        </w:tc>
        <w:tc>
          <w:tcPr>
            <w:tcW w:w="0" w:type="auto"/>
            <w:tcBorders>
              <w:top w:val="nil"/>
              <w:left w:val="nil"/>
              <w:bottom w:val="single" w:sz="4" w:space="0" w:color="FFFFFF"/>
              <w:right w:val="single" w:sz="4" w:space="0" w:color="FFFFFF"/>
            </w:tcBorders>
            <w:shd w:val="clear" w:color="000000" w:fill="DAE6F2"/>
            <w:noWrap/>
            <w:vAlign w:val="center"/>
            <w:hideMark/>
          </w:tcPr>
          <w:p w14:paraId="7EC4A705" w14:textId="77777777" w:rsidR="0000091E" w:rsidRPr="009744B5" w:rsidRDefault="00EF4434" w:rsidP="005D3299">
            <w:pPr>
              <w:pStyle w:val="Listenabsatz"/>
              <w:spacing w:line="276" w:lineRule="auto"/>
            </w:pPr>
            <w:r>
              <w:t>10</w:t>
            </w:r>
          </w:p>
        </w:tc>
      </w:tr>
      <w:tr w:rsidR="0000091E" w:rsidRPr="009744B5" w14:paraId="3373CB2E" w14:textId="77777777" w:rsidTr="0027275E">
        <w:trPr>
          <w:trHeight w:val="510"/>
        </w:trPr>
        <w:tc>
          <w:tcPr>
            <w:tcW w:w="0" w:type="auto"/>
            <w:tcBorders>
              <w:top w:val="nil"/>
              <w:left w:val="single" w:sz="4" w:space="0" w:color="FFFFFF"/>
              <w:bottom w:val="nil"/>
              <w:right w:val="single" w:sz="4" w:space="0" w:color="FFFFFF"/>
            </w:tcBorders>
            <w:shd w:val="clear" w:color="000000" w:fill="BDD1E7"/>
            <w:vAlign w:val="center"/>
            <w:hideMark/>
          </w:tcPr>
          <w:p w14:paraId="4767315B" w14:textId="77777777" w:rsidR="0000091E" w:rsidRPr="009744B5" w:rsidRDefault="0000091E" w:rsidP="005D3299">
            <w:pPr>
              <w:pStyle w:val="Listenabsatz"/>
              <w:spacing w:line="276" w:lineRule="auto"/>
              <w:ind w:left="371"/>
            </w:pPr>
            <w:r w:rsidRPr="009744B5">
              <w:t xml:space="preserve">(Rein!) informelle Vorabstimmung des Entwurfes </w:t>
            </w:r>
            <w:r w:rsidR="00CD7DC8">
              <w:t xml:space="preserve">mit dem </w:t>
            </w:r>
            <w:r w:rsidRPr="009744B5">
              <w:t xml:space="preserve">zuständigen Ansprechpartner der Regulierungsbehörde. </w:t>
            </w:r>
          </w:p>
        </w:tc>
        <w:tc>
          <w:tcPr>
            <w:tcW w:w="0" w:type="auto"/>
            <w:tcBorders>
              <w:top w:val="nil"/>
              <w:left w:val="nil"/>
              <w:bottom w:val="nil"/>
              <w:right w:val="single" w:sz="4" w:space="0" w:color="FFFFFF"/>
            </w:tcBorders>
            <w:shd w:val="clear" w:color="000000" w:fill="BDD1E7"/>
            <w:noWrap/>
            <w:vAlign w:val="center"/>
            <w:hideMark/>
          </w:tcPr>
          <w:p w14:paraId="5CDD5E34" w14:textId="77777777" w:rsidR="0000091E" w:rsidRPr="009744B5" w:rsidRDefault="00B40DB6" w:rsidP="00B40DB6">
            <w:pPr>
              <w:pStyle w:val="Listenabsatz"/>
              <w:spacing w:line="276" w:lineRule="auto"/>
            </w:pPr>
            <w:r>
              <w:t>14</w:t>
            </w:r>
          </w:p>
        </w:tc>
      </w:tr>
      <w:tr w:rsidR="0000091E" w:rsidRPr="009744B5" w14:paraId="3DBD2A8B" w14:textId="77777777" w:rsidTr="0027275E">
        <w:trPr>
          <w:trHeight w:val="255"/>
        </w:trPr>
        <w:tc>
          <w:tcPr>
            <w:tcW w:w="0" w:type="auto"/>
            <w:tcBorders>
              <w:top w:val="single" w:sz="4" w:space="0" w:color="FFFFFF"/>
              <w:left w:val="single" w:sz="4" w:space="0" w:color="FFFFFF"/>
              <w:bottom w:val="single" w:sz="4" w:space="0" w:color="FFFFFF"/>
              <w:right w:val="single" w:sz="4" w:space="0" w:color="FFFFFF"/>
            </w:tcBorders>
            <w:shd w:val="clear" w:color="000000" w:fill="DAE6F2"/>
            <w:noWrap/>
            <w:vAlign w:val="center"/>
            <w:hideMark/>
          </w:tcPr>
          <w:p w14:paraId="7C4678D3" w14:textId="77777777" w:rsidR="0000091E" w:rsidRPr="009744B5" w:rsidRDefault="00C27473" w:rsidP="005D3299">
            <w:pPr>
              <w:pStyle w:val="Listenabsatz"/>
              <w:spacing w:line="276" w:lineRule="auto"/>
              <w:ind w:left="371"/>
            </w:pPr>
            <w:r w:rsidRPr="00C27473">
              <w:t>Offizielle Anzeige bzw. Einreichung der Allgemeinen Lieferbedingungen</w:t>
            </w:r>
          </w:p>
        </w:tc>
        <w:tc>
          <w:tcPr>
            <w:tcW w:w="0" w:type="auto"/>
            <w:tcBorders>
              <w:top w:val="single" w:sz="4" w:space="0" w:color="FFFFFF"/>
              <w:left w:val="nil"/>
              <w:bottom w:val="single" w:sz="4" w:space="0" w:color="FFFFFF"/>
              <w:right w:val="single" w:sz="4" w:space="0" w:color="FFFFFF"/>
            </w:tcBorders>
            <w:shd w:val="clear" w:color="000000" w:fill="DAE6F2"/>
            <w:noWrap/>
            <w:vAlign w:val="center"/>
            <w:hideMark/>
          </w:tcPr>
          <w:p w14:paraId="3696440B" w14:textId="77777777" w:rsidR="0000091E" w:rsidRPr="009744B5" w:rsidRDefault="00C27473" w:rsidP="005D3299">
            <w:pPr>
              <w:pStyle w:val="Listenabsatz"/>
              <w:spacing w:line="276" w:lineRule="auto"/>
            </w:pPr>
            <w:r>
              <w:t>0,25</w:t>
            </w:r>
          </w:p>
        </w:tc>
      </w:tr>
      <w:tr w:rsidR="0000091E" w:rsidRPr="009744B5" w14:paraId="03C995A4" w14:textId="77777777" w:rsidTr="0027275E">
        <w:trPr>
          <w:trHeight w:val="510"/>
        </w:trPr>
        <w:tc>
          <w:tcPr>
            <w:tcW w:w="0" w:type="auto"/>
            <w:tcBorders>
              <w:top w:val="nil"/>
              <w:left w:val="single" w:sz="4" w:space="0" w:color="FFFFFF"/>
              <w:bottom w:val="single" w:sz="4" w:space="0" w:color="FFFFFF"/>
              <w:right w:val="single" w:sz="4" w:space="0" w:color="FFFFFF"/>
            </w:tcBorders>
            <w:shd w:val="clear" w:color="000000" w:fill="BDD1E7"/>
            <w:vAlign w:val="center"/>
            <w:hideMark/>
          </w:tcPr>
          <w:p w14:paraId="1D15FA74" w14:textId="4279B9D5" w:rsidR="0000091E" w:rsidRPr="009744B5" w:rsidRDefault="00C27473" w:rsidP="005D3299">
            <w:pPr>
              <w:pStyle w:val="Listenabsatz"/>
              <w:spacing w:line="276" w:lineRule="auto"/>
              <w:ind w:left="371"/>
            </w:pPr>
            <w:r w:rsidRPr="009744B5">
              <w:t>Abwarten der offiziellen Entscheidung der Regulierungskommission</w:t>
            </w:r>
            <w:r w:rsidR="00367D7D">
              <w:t xml:space="preserve"> </w:t>
            </w:r>
          </w:p>
        </w:tc>
        <w:tc>
          <w:tcPr>
            <w:tcW w:w="0" w:type="auto"/>
            <w:tcBorders>
              <w:top w:val="nil"/>
              <w:left w:val="nil"/>
              <w:bottom w:val="single" w:sz="4" w:space="0" w:color="FFFFFF"/>
              <w:right w:val="single" w:sz="4" w:space="0" w:color="FFFFFF"/>
            </w:tcBorders>
            <w:shd w:val="clear" w:color="000000" w:fill="BDD1E7"/>
            <w:vAlign w:val="center"/>
            <w:hideMark/>
          </w:tcPr>
          <w:p w14:paraId="6F35F374" w14:textId="0D8AE5EE" w:rsidR="0000091E" w:rsidRPr="009744B5" w:rsidRDefault="00C27473" w:rsidP="005D3299">
            <w:pPr>
              <w:pStyle w:val="Listenabsatz"/>
              <w:spacing w:line="276" w:lineRule="auto"/>
              <w:ind w:left="164"/>
              <w:jc w:val="center"/>
            </w:pPr>
            <w:proofErr w:type="spellStart"/>
            <w:r>
              <w:t>max</w:t>
            </w:r>
            <w:proofErr w:type="spellEnd"/>
            <w:r>
              <w:t xml:space="preserve"> </w:t>
            </w:r>
            <w:r w:rsidRPr="009744B5">
              <w:t>2</w:t>
            </w:r>
            <w:r w:rsidR="00367D7D">
              <w:t>**</w:t>
            </w:r>
            <w:r w:rsidRPr="009744B5">
              <w:t xml:space="preserve"> Mon</w:t>
            </w:r>
            <w:r>
              <w:t>a</w:t>
            </w:r>
            <w:r w:rsidRPr="009744B5">
              <w:t>te</w:t>
            </w:r>
          </w:p>
        </w:tc>
      </w:tr>
      <w:tr w:rsidR="0000091E" w:rsidRPr="0059388E" w14:paraId="458BE4FE" w14:textId="77777777" w:rsidTr="0027275E">
        <w:trPr>
          <w:trHeight w:val="255"/>
        </w:trPr>
        <w:tc>
          <w:tcPr>
            <w:tcW w:w="0" w:type="auto"/>
            <w:tcBorders>
              <w:top w:val="nil"/>
              <w:left w:val="single" w:sz="4" w:space="0" w:color="FFFFFF"/>
              <w:bottom w:val="single" w:sz="4" w:space="0" w:color="FFFFFF"/>
              <w:right w:val="single" w:sz="4" w:space="0" w:color="FFFFFF"/>
            </w:tcBorders>
            <w:shd w:val="clear" w:color="000000" w:fill="FFFFFF"/>
            <w:vAlign w:val="center"/>
            <w:hideMark/>
          </w:tcPr>
          <w:p w14:paraId="30C96935" w14:textId="77777777" w:rsidR="0000091E" w:rsidRDefault="0000091E" w:rsidP="005D3299">
            <w:pPr>
              <w:pStyle w:val="Listenabsatz"/>
              <w:spacing w:line="276" w:lineRule="auto"/>
              <w:ind w:left="0"/>
              <w:rPr>
                <w:rFonts w:cs="Arial"/>
                <w:sz w:val="16"/>
                <w:szCs w:val="16"/>
              </w:rPr>
            </w:pPr>
            <w:r w:rsidRPr="0059388E">
              <w:rPr>
                <w:sz w:val="16"/>
                <w:szCs w:val="16"/>
              </w:rPr>
              <w:t>*</w:t>
            </w:r>
            <w:r w:rsidR="006F1A1F">
              <w:rPr>
                <w:rFonts w:cs="Arial"/>
                <w:sz w:val="16"/>
                <w:szCs w:val="16"/>
              </w:rPr>
              <w:t xml:space="preserve"> AT= Arbeitstage sind </w:t>
            </w:r>
            <w:r w:rsidR="006F1A1F" w:rsidRPr="00EF4434">
              <w:rPr>
                <w:rFonts w:cs="Arial"/>
                <w:sz w:val="16"/>
                <w:szCs w:val="16"/>
              </w:rPr>
              <w:t>Erfahrungswerte als Orientierungshilfe</w:t>
            </w:r>
          </w:p>
          <w:p w14:paraId="677E68A7" w14:textId="5A36D2B1" w:rsidR="00367D7D" w:rsidRPr="0059388E" w:rsidRDefault="00367D7D" w:rsidP="005D3299">
            <w:pPr>
              <w:pStyle w:val="Listenabsatz"/>
              <w:spacing w:line="276" w:lineRule="auto"/>
              <w:ind w:left="0"/>
              <w:rPr>
                <w:sz w:val="16"/>
                <w:szCs w:val="16"/>
              </w:rPr>
            </w:pPr>
            <w:r>
              <w:rPr>
                <w:sz w:val="16"/>
                <w:szCs w:val="16"/>
              </w:rPr>
              <w:t xml:space="preserve">** </w:t>
            </w:r>
            <w:r w:rsidR="00191D87">
              <w:rPr>
                <w:sz w:val="16"/>
                <w:szCs w:val="16"/>
              </w:rPr>
              <w:t xml:space="preserve">Frist kann sich verlängern </w:t>
            </w:r>
            <w:proofErr w:type="spellStart"/>
            <w:r w:rsidR="00191D87">
              <w:rPr>
                <w:sz w:val="16"/>
                <w:szCs w:val="16"/>
              </w:rPr>
              <w:t>bspw</w:t>
            </w:r>
            <w:proofErr w:type="spellEnd"/>
            <w:r w:rsidR="00191D87">
              <w:rPr>
                <w:sz w:val="16"/>
                <w:szCs w:val="16"/>
              </w:rPr>
              <w:t xml:space="preserve"> wenn weitere Informationen </w:t>
            </w:r>
            <w:r w:rsidR="00723896">
              <w:rPr>
                <w:sz w:val="16"/>
                <w:szCs w:val="16"/>
              </w:rPr>
              <w:t>erforderlich</w:t>
            </w:r>
            <w:r w:rsidR="00191D87">
              <w:rPr>
                <w:sz w:val="16"/>
                <w:szCs w:val="16"/>
              </w:rPr>
              <w:t xml:space="preserve"> werden </w:t>
            </w:r>
          </w:p>
        </w:tc>
        <w:tc>
          <w:tcPr>
            <w:tcW w:w="0" w:type="auto"/>
            <w:tcBorders>
              <w:top w:val="nil"/>
              <w:left w:val="nil"/>
              <w:bottom w:val="single" w:sz="4" w:space="0" w:color="FFFFFF"/>
              <w:right w:val="single" w:sz="4" w:space="0" w:color="FFFFFF"/>
            </w:tcBorders>
            <w:shd w:val="clear" w:color="000000" w:fill="FFFFFF"/>
            <w:noWrap/>
            <w:vAlign w:val="center"/>
            <w:hideMark/>
          </w:tcPr>
          <w:p w14:paraId="7781B1B8" w14:textId="77777777" w:rsidR="0000091E" w:rsidRPr="0059388E" w:rsidRDefault="0000091E" w:rsidP="005D3299">
            <w:pPr>
              <w:pStyle w:val="Listenabsatz"/>
              <w:spacing w:line="276" w:lineRule="auto"/>
              <w:rPr>
                <w:sz w:val="16"/>
                <w:szCs w:val="16"/>
              </w:rPr>
            </w:pPr>
            <w:r w:rsidRPr="0059388E">
              <w:rPr>
                <w:sz w:val="16"/>
                <w:szCs w:val="16"/>
              </w:rPr>
              <w:t> </w:t>
            </w:r>
          </w:p>
        </w:tc>
      </w:tr>
    </w:tbl>
    <w:p w14:paraId="22DCB593" w14:textId="77777777" w:rsidR="0000091E" w:rsidRPr="008F381F" w:rsidRDefault="0000091E" w:rsidP="0000091E"/>
    <w:p w14:paraId="082E7EF4" w14:textId="77777777" w:rsidR="0000091E" w:rsidRDefault="0000091E" w:rsidP="0000091E">
      <w:pPr>
        <w:ind w:left="708"/>
      </w:pPr>
      <w:r>
        <w:rPr>
          <w:b/>
        </w:rPr>
        <w:t>Tipps und Hinweise</w:t>
      </w:r>
      <w:r>
        <w:t>:</w:t>
      </w:r>
    </w:p>
    <w:p w14:paraId="7AC9131B" w14:textId="7D029A77" w:rsidR="0000091E" w:rsidRPr="007B2C7B" w:rsidRDefault="00EF4434" w:rsidP="00EF4434">
      <w:pPr>
        <w:rPr>
          <w:i/>
        </w:rPr>
      </w:pPr>
      <w:r>
        <w:lastRenderedPageBreak/>
        <w:t xml:space="preserve">Der zeitliche Aufwand zur Erarbeitung der Allgemeinen Lieferbedingungen hängt immer von den vorhandenen Kapazitäten und den bereits vorhandenen Kenntnissen in </w:t>
      </w:r>
      <w:r w:rsidR="00EB2502">
        <w:t>Ihr</w:t>
      </w:r>
      <w:r>
        <w:t xml:space="preserve">em Unternehmen, insbesondere über die österreichische Rechtslage und den österreichischen </w:t>
      </w:r>
      <w:r w:rsidR="006F6255">
        <w:t>Strom</w:t>
      </w:r>
      <w:r>
        <w:t xml:space="preserve">markt, ab. </w:t>
      </w:r>
      <w:r w:rsidR="00F509E4">
        <w:t>Ihre</w:t>
      </w:r>
      <w:r>
        <w:t xml:space="preserve"> juristischen Kapazitäten und deren Verfügbarkeit beeinflusst bereits die Dauer für die informellen Vorgespräche. Weiters sollten Sie jedenfalls beachten, dass die offizielle Anzeige bzw. Einreichung der Allgemeinen Lieferbedingungen spätestens </w:t>
      </w:r>
      <w:r w:rsidR="00697994">
        <w:t>eine Woche</w:t>
      </w:r>
      <w:r>
        <w:t xml:space="preserve"> vor der Kommissionssitzung erfolgen </w:t>
      </w:r>
      <w:r w:rsidR="00697994">
        <w:t>muss</w:t>
      </w:r>
      <w:r>
        <w:t xml:space="preserve">, um </w:t>
      </w:r>
      <w:r w:rsidR="008C3426">
        <w:t>in dieser berücksichtigt</w:t>
      </w:r>
      <w:r>
        <w:t xml:space="preserve"> werden zu können.</w:t>
      </w:r>
    </w:p>
    <w:p w14:paraId="0EEEE30E" w14:textId="77777777" w:rsidR="0000091E" w:rsidRDefault="0000091E" w:rsidP="0000091E"/>
    <w:p w14:paraId="7D894774" w14:textId="078A3D70" w:rsidR="0000091E" w:rsidRDefault="0000091E" w:rsidP="00C46FB6">
      <w:pPr>
        <w:pStyle w:val="berschrift2"/>
        <w:keepNext/>
        <w:keepLines/>
        <w:widowControl/>
        <w:numPr>
          <w:ilvl w:val="0"/>
          <w:numId w:val="3"/>
        </w:numPr>
        <w:overflowPunct/>
        <w:autoSpaceDE/>
        <w:autoSpaceDN/>
        <w:adjustRightInd/>
        <w:spacing w:before="200" w:after="0"/>
        <w:jc w:val="left"/>
        <w:textAlignment w:val="auto"/>
      </w:pPr>
      <w:bookmarkStart w:id="28" w:name="_Toc353353906"/>
      <w:bookmarkStart w:id="29" w:name="_Toc379201260"/>
      <w:bookmarkStart w:id="30" w:name="_Toc31376447"/>
      <w:r>
        <w:t xml:space="preserve">Registrierung </w:t>
      </w:r>
      <w:bookmarkEnd w:id="28"/>
      <w:r>
        <w:t>bei der Wechselplattform</w:t>
      </w:r>
      <w:bookmarkEnd w:id="29"/>
      <w:r w:rsidR="0042476C">
        <w:t xml:space="preserve"> (ENERGYlink)</w:t>
      </w:r>
      <w:bookmarkEnd w:id="30"/>
    </w:p>
    <w:p w14:paraId="16873643" w14:textId="77777777" w:rsidR="0000091E" w:rsidRDefault="0000091E" w:rsidP="00C46FB6">
      <w:pPr>
        <w:keepNext/>
        <w:rPr>
          <w:b/>
        </w:rPr>
      </w:pPr>
    </w:p>
    <w:p w14:paraId="5C396B66" w14:textId="77777777" w:rsidR="0000091E" w:rsidRPr="00C27A6B" w:rsidRDefault="0000091E" w:rsidP="00C46FB6">
      <w:pPr>
        <w:keepNext/>
        <w:rPr>
          <w:b/>
        </w:rPr>
      </w:pPr>
      <w:r>
        <w:rPr>
          <w:b/>
        </w:rPr>
        <w:t>Rechtliche Grundlage</w:t>
      </w:r>
    </w:p>
    <w:p w14:paraId="21DA17B3" w14:textId="5CFA47DC" w:rsidR="0000091E" w:rsidRDefault="00F26E1C" w:rsidP="00C46FB6">
      <w:pPr>
        <w:keepNext/>
        <w:rPr>
          <w:rStyle w:val="Hyperlink"/>
        </w:rPr>
      </w:pPr>
      <w:hyperlink r:id="rId62" w:history="1">
        <w:r w:rsidR="0000091E" w:rsidRPr="00C46FB6">
          <w:rPr>
            <w:rStyle w:val="Hyperlink"/>
          </w:rPr>
          <w:t xml:space="preserve">§76 </w:t>
        </w:r>
        <w:proofErr w:type="spellStart"/>
        <w:r w:rsidR="0000091E" w:rsidRPr="00C46FB6">
          <w:rPr>
            <w:rStyle w:val="Hyperlink"/>
          </w:rPr>
          <w:t>ElWOG</w:t>
        </w:r>
        <w:proofErr w:type="spellEnd"/>
        <w:r w:rsidR="0000091E" w:rsidRPr="00C46FB6">
          <w:rPr>
            <w:rStyle w:val="Hyperlink"/>
          </w:rPr>
          <w:t xml:space="preserve"> 2010</w:t>
        </w:r>
      </w:hyperlink>
      <w:r w:rsidR="0002155A">
        <w:t>;</w:t>
      </w:r>
      <w:r w:rsidR="0000091E">
        <w:t xml:space="preserve"> </w:t>
      </w:r>
      <w:hyperlink r:id="rId63" w:anchor="p_p_id_com_liferay_journal_content_web_portlet_JournalContentPortlet_INSTANCE_10309A20136_" w:history="1">
        <w:r w:rsidR="00F56060" w:rsidRPr="002059D2">
          <w:rPr>
            <w:rStyle w:val="Hyperlink"/>
          </w:rPr>
          <w:t>Wechselverordnung 2014</w:t>
        </w:r>
      </w:hyperlink>
      <w:r w:rsidR="0002155A">
        <w:rPr>
          <w:rStyle w:val="Hyperlink"/>
        </w:rPr>
        <w:t xml:space="preserve"> </w:t>
      </w:r>
      <w:r w:rsidR="00933373" w:rsidRPr="00136CBE">
        <w:rPr>
          <w:rFonts w:cstheme="minorHAnsi"/>
        </w:rPr>
        <w:t>sowie deren Anhang und Erläuterungen</w:t>
      </w:r>
    </w:p>
    <w:p w14:paraId="46CBFA3B" w14:textId="7CE677E9" w:rsidR="006072F4" w:rsidRDefault="00F26E1C" w:rsidP="00663D3F">
      <w:pPr>
        <w:rPr>
          <w:rFonts w:cstheme="minorHAnsi"/>
          <w:b/>
        </w:rPr>
      </w:pPr>
      <w:hyperlink r:id="rId64" w:history="1">
        <w:r w:rsidR="00C27473" w:rsidRPr="00663D3F">
          <w:rPr>
            <w:rStyle w:val="Hyperlink"/>
          </w:rPr>
          <w:t xml:space="preserve">Allgemeine Bedingungen für Bilanzgruppenkoordinatoren </w:t>
        </w:r>
        <w:r w:rsidR="00663D3F" w:rsidRPr="00663D3F">
          <w:rPr>
            <w:rStyle w:val="Hyperlink"/>
          </w:rPr>
          <w:t>(AB-BKO)</w:t>
        </w:r>
      </w:hyperlink>
      <w:r w:rsidR="00663D3F">
        <w:br/>
      </w:r>
    </w:p>
    <w:p w14:paraId="1A4B78DC" w14:textId="77777777" w:rsidR="0000091E" w:rsidRPr="00C27A6B" w:rsidRDefault="00D1140B" w:rsidP="00955CF5">
      <w:pPr>
        <w:keepNext/>
        <w:spacing w:before="120"/>
        <w:jc w:val="both"/>
        <w:rPr>
          <w:rFonts w:cstheme="minorHAnsi"/>
          <w:b/>
        </w:rPr>
      </w:pPr>
      <w:r>
        <w:rPr>
          <w:rFonts w:cstheme="minorHAnsi"/>
          <w:b/>
        </w:rPr>
        <w:t>Kurzbeschreibung</w:t>
      </w:r>
    </w:p>
    <w:p w14:paraId="5C685814" w14:textId="410F0528" w:rsidR="0000091E" w:rsidRDefault="0000091E" w:rsidP="00955CF5">
      <w:pPr>
        <w:keepNext/>
        <w:spacing w:before="120"/>
        <w:rPr>
          <w:rFonts w:cstheme="minorHAnsi"/>
        </w:rPr>
      </w:pPr>
      <w:r>
        <w:rPr>
          <w:rFonts w:cstheme="minorHAnsi"/>
        </w:rPr>
        <w:t>Beim Lieferantenwechsel sowie bei der An- und Abmeldung eines Kunden ist der Austausch von Daten zwischen</w:t>
      </w:r>
      <w:r w:rsidRPr="00485553">
        <w:rPr>
          <w:rFonts w:cstheme="minorHAnsi"/>
        </w:rPr>
        <w:t xml:space="preserve"> </w:t>
      </w:r>
      <w:r>
        <w:rPr>
          <w:rFonts w:cstheme="minorHAnsi"/>
        </w:rPr>
        <w:t>Lieferanten</w:t>
      </w:r>
      <w:r w:rsidRPr="00485553">
        <w:rPr>
          <w:rFonts w:cstheme="minorHAnsi"/>
        </w:rPr>
        <w:t xml:space="preserve"> und Netzbetreibern</w:t>
      </w:r>
      <w:r>
        <w:rPr>
          <w:rFonts w:cstheme="minorHAnsi"/>
        </w:rPr>
        <w:t xml:space="preserve"> erforderlich. Dieser</w:t>
      </w:r>
      <w:r w:rsidRPr="00485553">
        <w:rPr>
          <w:rFonts w:cstheme="minorHAnsi"/>
        </w:rPr>
        <w:t xml:space="preserve"> Austausch erfolgt</w:t>
      </w:r>
      <w:r>
        <w:rPr>
          <w:rFonts w:cstheme="minorHAnsi"/>
        </w:rPr>
        <w:t xml:space="preserve"> nicht bilateral, sondern </w:t>
      </w:r>
      <w:r w:rsidRPr="00C27A6B">
        <w:rPr>
          <w:rFonts w:cstheme="minorHAnsi"/>
        </w:rPr>
        <w:t xml:space="preserve">mittels gesicherter Kommunikation </w:t>
      </w:r>
      <w:r w:rsidRPr="00485553">
        <w:rPr>
          <w:rFonts w:cstheme="minorHAnsi"/>
        </w:rPr>
        <w:t xml:space="preserve">über </w:t>
      </w:r>
      <w:r>
        <w:rPr>
          <w:rFonts w:cstheme="minorHAnsi"/>
        </w:rPr>
        <w:t>eine dezentrale Plattform</w:t>
      </w:r>
      <w:r w:rsidRPr="00485553">
        <w:rPr>
          <w:rFonts w:cstheme="minorHAnsi"/>
        </w:rPr>
        <w:t xml:space="preserve"> </w:t>
      </w:r>
      <w:r>
        <w:rPr>
          <w:rFonts w:cstheme="minorHAnsi"/>
        </w:rPr>
        <w:t>(„</w:t>
      </w:r>
      <w:r w:rsidRPr="00485553">
        <w:rPr>
          <w:rFonts w:cstheme="minorHAnsi"/>
        </w:rPr>
        <w:t>Wechselplattform</w:t>
      </w:r>
      <w:r>
        <w:rPr>
          <w:rFonts w:cstheme="minorHAnsi"/>
        </w:rPr>
        <w:t xml:space="preserve">“), welche von der Verrechnungsstelle </w:t>
      </w:r>
      <w:r w:rsidR="005D0B88">
        <w:rPr>
          <w:rFonts w:cstheme="minorHAnsi"/>
        </w:rPr>
        <w:t>(BKO-Bilanzgruppenkoo</w:t>
      </w:r>
      <w:r w:rsidR="000769BC">
        <w:rPr>
          <w:rFonts w:cstheme="minorHAnsi"/>
        </w:rPr>
        <w:t xml:space="preserve">rdinator) </w:t>
      </w:r>
      <w:r>
        <w:rPr>
          <w:rFonts w:cstheme="minorHAnsi"/>
        </w:rPr>
        <w:t>betrieben wird.</w:t>
      </w:r>
    </w:p>
    <w:p w14:paraId="2A07CE09" w14:textId="77777777" w:rsidR="006072F4" w:rsidRPr="00C27A6B" w:rsidRDefault="006072F4" w:rsidP="0000091E">
      <w:pPr>
        <w:spacing w:before="120"/>
        <w:rPr>
          <w:rFonts w:cstheme="minorHAnsi"/>
        </w:rPr>
      </w:pPr>
    </w:p>
    <w:p w14:paraId="0877EFC9" w14:textId="77777777" w:rsidR="0000091E" w:rsidRDefault="0000091E" w:rsidP="0000091E">
      <w:pPr>
        <w:spacing w:before="120"/>
        <w:jc w:val="both"/>
        <w:rPr>
          <w:rFonts w:cstheme="minorHAnsi"/>
        </w:rPr>
      </w:pPr>
      <w:r w:rsidRPr="00485553">
        <w:rPr>
          <w:rFonts w:cstheme="minorHAnsi"/>
        </w:rPr>
        <w:t xml:space="preserve">Die einzelnen Prozessschritte sind so ausgelegt, dass diese größtenteils automatisiert beim Netzbetreiber bzw. </w:t>
      </w:r>
      <w:r>
        <w:rPr>
          <w:rFonts w:cstheme="minorHAnsi"/>
        </w:rPr>
        <w:t xml:space="preserve">Lieferanten </w:t>
      </w:r>
      <w:r w:rsidRPr="00485553">
        <w:rPr>
          <w:rFonts w:cstheme="minorHAnsi"/>
        </w:rPr>
        <w:t xml:space="preserve">ablaufen können. Die auszutauschenden Daten </w:t>
      </w:r>
      <w:r>
        <w:rPr>
          <w:rFonts w:cstheme="minorHAnsi"/>
        </w:rPr>
        <w:t>werden</w:t>
      </w:r>
      <w:r w:rsidRPr="00485553">
        <w:rPr>
          <w:rFonts w:cstheme="minorHAnsi"/>
        </w:rPr>
        <w:t xml:space="preserve"> grundsätzlich verschlüsselt </w:t>
      </w:r>
      <w:r>
        <w:rPr>
          <w:rFonts w:cstheme="minorHAnsi"/>
        </w:rPr>
        <w:t xml:space="preserve">über die </w:t>
      </w:r>
      <w:r w:rsidRPr="00485553">
        <w:rPr>
          <w:rFonts w:cstheme="minorHAnsi"/>
        </w:rPr>
        <w:t xml:space="preserve">Wechselplattform </w:t>
      </w:r>
      <w:r>
        <w:rPr>
          <w:rFonts w:cstheme="minorHAnsi"/>
        </w:rPr>
        <w:t>übermittelt</w:t>
      </w:r>
      <w:r w:rsidRPr="00485553">
        <w:rPr>
          <w:rFonts w:cstheme="minorHAnsi"/>
        </w:rPr>
        <w:t xml:space="preserve">. Die jeweiligen Kundendaten </w:t>
      </w:r>
      <w:r>
        <w:rPr>
          <w:rFonts w:cstheme="minorHAnsi"/>
        </w:rPr>
        <w:t xml:space="preserve">werden </w:t>
      </w:r>
      <w:r w:rsidRPr="00485553">
        <w:rPr>
          <w:rFonts w:cstheme="minorHAnsi"/>
        </w:rPr>
        <w:t xml:space="preserve">ausschließlich bei den Netzbetreibern und </w:t>
      </w:r>
      <w:r w:rsidR="003E701B">
        <w:rPr>
          <w:rFonts w:cstheme="minorHAnsi"/>
        </w:rPr>
        <w:t>Lieferanten</w:t>
      </w:r>
      <w:r w:rsidR="003E701B" w:rsidRPr="00485553">
        <w:rPr>
          <w:rFonts w:cstheme="minorHAnsi"/>
        </w:rPr>
        <w:t xml:space="preserve"> </w:t>
      </w:r>
      <w:r w:rsidRPr="00485553">
        <w:rPr>
          <w:rFonts w:cstheme="minorHAnsi"/>
        </w:rPr>
        <w:t xml:space="preserve">gespeichert. Die Wechselplattform selbst speichert keine Daten der Kunden. Alle Netzbetreiber und </w:t>
      </w:r>
      <w:r>
        <w:rPr>
          <w:rFonts w:cstheme="minorHAnsi"/>
        </w:rPr>
        <w:t xml:space="preserve">Lieferanten </w:t>
      </w:r>
      <w:r w:rsidRPr="00485553">
        <w:rPr>
          <w:rFonts w:cstheme="minorHAnsi"/>
        </w:rPr>
        <w:t xml:space="preserve">haben sich für die Nutzung der Wechselplattform bei der Verrechnungsstelle zu registrieren und elektronische Schnittstellen gemäß den Vorgaben der Wechselplattform zu installieren und zu betreiben. </w:t>
      </w:r>
    </w:p>
    <w:p w14:paraId="7C36B48D" w14:textId="77777777" w:rsidR="006072F4" w:rsidRDefault="006072F4" w:rsidP="0000091E">
      <w:pPr>
        <w:spacing w:before="120"/>
        <w:jc w:val="both"/>
        <w:rPr>
          <w:rFonts w:cstheme="minorHAnsi"/>
        </w:rPr>
      </w:pPr>
    </w:p>
    <w:p w14:paraId="59B990D0" w14:textId="16008019" w:rsidR="0000091E" w:rsidRDefault="0000091E" w:rsidP="0000091E">
      <w:pPr>
        <w:spacing w:before="120"/>
        <w:jc w:val="both"/>
        <w:rPr>
          <w:rFonts w:cstheme="minorHAnsi"/>
        </w:rPr>
      </w:pPr>
      <w:r w:rsidRPr="00485553">
        <w:rPr>
          <w:rFonts w:cstheme="minorHAnsi"/>
        </w:rPr>
        <w:t xml:space="preserve">Für kleinere </w:t>
      </w:r>
      <w:r>
        <w:rPr>
          <w:rFonts w:cstheme="minorHAnsi"/>
        </w:rPr>
        <w:t>Lieferanten (und Netzbetreiber)</w:t>
      </w:r>
      <w:r w:rsidRPr="00485553">
        <w:rPr>
          <w:rFonts w:cstheme="minorHAnsi"/>
        </w:rPr>
        <w:t xml:space="preserve"> stellt die Verrechnungsstelle einen sogenannten „</w:t>
      </w:r>
      <w:proofErr w:type="spellStart"/>
      <w:r w:rsidRPr="002E2181">
        <w:rPr>
          <w:rFonts w:cstheme="minorHAnsi"/>
        </w:rPr>
        <w:t>Self</w:t>
      </w:r>
      <w:proofErr w:type="spellEnd"/>
      <w:r w:rsidRPr="002E2181">
        <w:rPr>
          <w:rFonts w:cstheme="minorHAnsi"/>
        </w:rPr>
        <w:t xml:space="preserve"> Storage-Dienst (</w:t>
      </w:r>
      <w:proofErr w:type="spellStart"/>
      <w:r w:rsidRPr="002E2181">
        <w:rPr>
          <w:rFonts w:cstheme="minorHAnsi"/>
        </w:rPr>
        <w:t>SeSo</w:t>
      </w:r>
      <w:proofErr w:type="spellEnd"/>
      <w:r w:rsidRPr="002E2181">
        <w:rPr>
          <w:rFonts w:cstheme="minorHAnsi"/>
        </w:rPr>
        <w:t>)</w:t>
      </w:r>
      <w:r w:rsidRPr="00485553">
        <w:rPr>
          <w:rFonts w:cstheme="minorHAnsi"/>
        </w:rPr>
        <w:t xml:space="preserve">“ zur Verfügung. Mittels des Self-Storage Dienstes können kleinere Marktteilnehmer nach Hochladen der relevanten </w:t>
      </w:r>
      <w:r w:rsidR="0042476C">
        <w:rPr>
          <w:rFonts w:cstheme="minorHAnsi"/>
        </w:rPr>
        <w:t>Stammdaten</w:t>
      </w:r>
      <w:r w:rsidR="0042476C" w:rsidRPr="00485553">
        <w:rPr>
          <w:rFonts w:cstheme="minorHAnsi"/>
        </w:rPr>
        <w:t xml:space="preserve"> </w:t>
      </w:r>
      <w:r w:rsidRPr="00485553">
        <w:rPr>
          <w:rFonts w:cstheme="minorHAnsi"/>
        </w:rPr>
        <w:t xml:space="preserve">über ein Webportal die </w:t>
      </w:r>
      <w:r w:rsidR="0042476C">
        <w:rPr>
          <w:rFonts w:cstheme="minorHAnsi"/>
        </w:rPr>
        <w:t>P</w:t>
      </w:r>
      <w:r w:rsidR="0042476C" w:rsidRPr="00485553">
        <w:rPr>
          <w:rFonts w:cstheme="minorHAnsi"/>
        </w:rPr>
        <w:t xml:space="preserve">rozesse </w:t>
      </w:r>
      <w:r w:rsidR="0042476C">
        <w:rPr>
          <w:rFonts w:cstheme="minorHAnsi"/>
        </w:rPr>
        <w:t xml:space="preserve">gemäß Wechselverordnung </w:t>
      </w:r>
      <w:r w:rsidRPr="00485553">
        <w:rPr>
          <w:rFonts w:cstheme="minorHAnsi"/>
        </w:rPr>
        <w:t>automatisiert abwickeln und müssen so keine Daten-Schnittstelle zu Ihren eigen</w:t>
      </w:r>
      <w:r>
        <w:rPr>
          <w:rFonts w:cstheme="minorHAnsi"/>
        </w:rPr>
        <w:t>en IT-Systemen implementieren.</w:t>
      </w:r>
    </w:p>
    <w:p w14:paraId="3EF564B0" w14:textId="77777777" w:rsidR="0000091E" w:rsidRPr="00485553" w:rsidRDefault="0000091E" w:rsidP="0000091E">
      <w:pPr>
        <w:spacing w:before="120"/>
        <w:jc w:val="both"/>
        <w:rPr>
          <w:rFonts w:cstheme="minorHAnsi"/>
        </w:rPr>
      </w:pPr>
    </w:p>
    <w:p w14:paraId="672487B5" w14:textId="77777777" w:rsidR="0000091E" w:rsidRPr="0034186F" w:rsidRDefault="00D1140B" w:rsidP="00136CBE">
      <w:pPr>
        <w:keepNext/>
        <w:rPr>
          <w:b/>
        </w:rPr>
      </w:pPr>
      <w:r>
        <w:rPr>
          <w:b/>
        </w:rPr>
        <w:t>Handlungsanweisung</w:t>
      </w:r>
    </w:p>
    <w:p w14:paraId="7F770770" w14:textId="09AC1090" w:rsidR="0000091E" w:rsidRDefault="0000091E" w:rsidP="0000091E">
      <w:r>
        <w:t xml:space="preserve">Als Lieferant haben Sie sich bei der Wechselplattform gemäß Allgemeinen Bedingungen des Bilanzgruppenkoordinators (Verrechnungsstelle) zu </w:t>
      </w:r>
      <w:r w:rsidR="002E0AD7">
        <w:t>registrieren,</w:t>
      </w:r>
      <w:r>
        <w:t xml:space="preserve"> um ihre Funktionalitäten nutzen zu können. </w:t>
      </w:r>
    </w:p>
    <w:p w14:paraId="146547FB" w14:textId="77777777" w:rsidR="00C025BD" w:rsidRDefault="00C025BD" w:rsidP="0000091E"/>
    <w:p w14:paraId="0C871811" w14:textId="290414A5" w:rsidR="0000091E" w:rsidRDefault="0000091E" w:rsidP="0000091E">
      <w:pPr>
        <w:ind w:left="360"/>
      </w:pPr>
      <w:r>
        <w:t xml:space="preserve">Mit der </w:t>
      </w:r>
      <w:r w:rsidRPr="002B01A7">
        <w:t xml:space="preserve">Übermittlung des vollständig ausgefüllten </w:t>
      </w:r>
      <w:hyperlink r:id="rId65" w:history="1">
        <w:r w:rsidR="004832A5" w:rsidRPr="007D36DB">
          <w:rPr>
            <w:rStyle w:val="Hyperlink"/>
            <w:rFonts w:cstheme="minorHAnsi"/>
          </w:rPr>
          <w:t>Antragsformulars</w:t>
        </w:r>
      </w:hyperlink>
      <w:r w:rsidRPr="002B01A7">
        <w:t xml:space="preserve"> für die Registrierung zum </w:t>
      </w:r>
      <w:proofErr w:type="spellStart"/>
      <w:r w:rsidRPr="002B01A7">
        <w:t>ENERGYlink</w:t>
      </w:r>
      <w:proofErr w:type="spellEnd"/>
      <w:r w:rsidRPr="002B01A7">
        <w:t xml:space="preserve"> beginnt </w:t>
      </w:r>
      <w:r>
        <w:t xml:space="preserve">Ihr </w:t>
      </w:r>
      <w:r w:rsidRPr="002B01A7">
        <w:t xml:space="preserve">Registrierungsprozess. Im Zuge dessen prüft die Verrechnungsstelle ob die Voraussetzungen für </w:t>
      </w:r>
      <w:r>
        <w:t xml:space="preserve">Ihre </w:t>
      </w:r>
      <w:r w:rsidRPr="002B01A7">
        <w:t xml:space="preserve">Registrierung </w:t>
      </w:r>
      <w:r>
        <w:t xml:space="preserve">als </w:t>
      </w:r>
      <w:r w:rsidR="00EF3D3F">
        <w:t xml:space="preserve">Lieferant </w:t>
      </w:r>
      <w:r w:rsidRPr="002B01A7">
        <w:t xml:space="preserve">zum </w:t>
      </w:r>
      <w:proofErr w:type="spellStart"/>
      <w:r w:rsidRPr="002B01A7">
        <w:t>ENERGYlink</w:t>
      </w:r>
      <w:proofErr w:type="spellEnd"/>
      <w:r w:rsidRPr="002B01A7">
        <w:t xml:space="preserve"> erfüllt sind.</w:t>
      </w:r>
    </w:p>
    <w:p w14:paraId="35B2FA46" w14:textId="77777777" w:rsidR="00415027" w:rsidRPr="002B01A7" w:rsidRDefault="00415027" w:rsidP="0000091E">
      <w:pPr>
        <w:ind w:left="360"/>
      </w:pPr>
    </w:p>
    <w:p w14:paraId="2E382ED1" w14:textId="77777777" w:rsidR="0000091E" w:rsidRDefault="0000091E" w:rsidP="0000091E">
      <w:pPr>
        <w:ind w:left="360"/>
      </w:pPr>
      <w:r w:rsidRPr="002B01A7">
        <w:t xml:space="preserve">Liegen alle Voraussetzungen für eine Registrierung des </w:t>
      </w:r>
      <w:r w:rsidR="00EF3D3F">
        <w:t>Lieferante</w:t>
      </w:r>
      <w:r w:rsidR="00B7269B">
        <w:t>n</w:t>
      </w:r>
      <w:r w:rsidR="00EF3D3F">
        <w:t xml:space="preserve"> </w:t>
      </w:r>
      <w:r w:rsidRPr="002B01A7">
        <w:t xml:space="preserve">beim </w:t>
      </w:r>
      <w:proofErr w:type="spellStart"/>
      <w:r w:rsidRPr="002B01A7">
        <w:t>ENERGYlink</w:t>
      </w:r>
      <w:proofErr w:type="spellEnd"/>
      <w:r w:rsidRPr="002B01A7">
        <w:t xml:space="preserve"> vor, </w:t>
      </w:r>
      <w:r>
        <w:t>erhalten Sie</w:t>
      </w:r>
      <w:r w:rsidRPr="002B01A7">
        <w:t xml:space="preserve"> eine Registrierungsbestätigung. Die Freischaltung des elektronischen Zugangs zum </w:t>
      </w:r>
      <w:proofErr w:type="spellStart"/>
      <w:r w:rsidRPr="002B01A7">
        <w:t>ENERGYlink</w:t>
      </w:r>
      <w:proofErr w:type="spellEnd"/>
      <w:r w:rsidRPr="002B01A7">
        <w:t xml:space="preserve"> erfolgt binnen 10 Werktagen.</w:t>
      </w:r>
    </w:p>
    <w:p w14:paraId="3C68C42B" w14:textId="77777777" w:rsidR="00415027" w:rsidRPr="002B01A7" w:rsidRDefault="00415027" w:rsidP="0000091E">
      <w:pPr>
        <w:ind w:left="360"/>
      </w:pPr>
    </w:p>
    <w:p w14:paraId="1A3A80F6" w14:textId="2C3F0BA9" w:rsidR="0000091E" w:rsidRDefault="0000091E" w:rsidP="0000091E">
      <w:pPr>
        <w:ind w:left="360"/>
      </w:pPr>
      <w:r w:rsidRPr="002B01A7">
        <w:t xml:space="preserve">Mit Einlangen der Zugangsdaten können </w:t>
      </w:r>
      <w:r>
        <w:t xml:space="preserve">Sie </w:t>
      </w:r>
      <w:r w:rsidRPr="002B01A7">
        <w:t>die Fu</w:t>
      </w:r>
      <w:r>
        <w:t xml:space="preserve">nktionalitäten des </w:t>
      </w:r>
      <w:proofErr w:type="spellStart"/>
      <w:r>
        <w:t>ENERGYlink</w:t>
      </w:r>
      <w:proofErr w:type="spellEnd"/>
      <w:r>
        <w:t xml:space="preserve"> </w:t>
      </w:r>
      <w:r w:rsidRPr="002B01A7">
        <w:t>nutz</w:t>
      </w:r>
      <w:r>
        <w:t>en.</w:t>
      </w:r>
      <w:r w:rsidRPr="002B01A7">
        <w:t xml:space="preserve"> </w:t>
      </w:r>
    </w:p>
    <w:p w14:paraId="517220F4" w14:textId="77777777" w:rsidR="0000091E" w:rsidRDefault="0000091E" w:rsidP="0000091E">
      <w:pPr>
        <w:ind w:left="360"/>
      </w:pPr>
      <w:r w:rsidRPr="008E2445">
        <w:t xml:space="preserve">Die Registrierung zum </w:t>
      </w:r>
      <w:proofErr w:type="spellStart"/>
      <w:r w:rsidRPr="008E2445">
        <w:t>Self</w:t>
      </w:r>
      <w:proofErr w:type="spellEnd"/>
      <w:r w:rsidRPr="008E2445">
        <w:t xml:space="preserve"> Storage-Dienst (</w:t>
      </w:r>
      <w:proofErr w:type="spellStart"/>
      <w:r w:rsidRPr="008E2445">
        <w:t>SeSo</w:t>
      </w:r>
      <w:proofErr w:type="spellEnd"/>
      <w:r w:rsidRPr="008E2445">
        <w:t xml:space="preserve">) kann gemeinsam mit der Registrierung zum </w:t>
      </w:r>
      <w:proofErr w:type="spellStart"/>
      <w:r w:rsidRPr="008E2445">
        <w:t>ENERGYlink</w:t>
      </w:r>
      <w:proofErr w:type="spellEnd"/>
      <w:r w:rsidRPr="008E2445">
        <w:t xml:space="preserve"> oder danach erfolgen.</w:t>
      </w:r>
    </w:p>
    <w:p w14:paraId="22670456" w14:textId="77777777" w:rsidR="00C025BD" w:rsidRDefault="00C025BD" w:rsidP="0000091E">
      <w:pPr>
        <w:ind w:left="360"/>
      </w:pPr>
    </w:p>
    <w:p w14:paraId="651E2CF5" w14:textId="1C98B77D" w:rsidR="0000091E" w:rsidRDefault="0000091E" w:rsidP="0000091E">
      <w:pPr>
        <w:rPr>
          <w:rStyle w:val="Hyperlink"/>
        </w:rPr>
      </w:pPr>
      <w:r>
        <w:t xml:space="preserve">Die Registrierungsformulare als Lieferant, Empfängeradresse und alle nötigen Informationen der zu erbringenden Unterlagen finden Sie direkt auf der Website der </w:t>
      </w:r>
      <w:r w:rsidR="0042476C">
        <w:t xml:space="preserve">Wechselplattform </w:t>
      </w:r>
      <w:r>
        <w:t xml:space="preserve">unter </w:t>
      </w:r>
      <w:hyperlink r:id="rId66" w:history="1">
        <w:r w:rsidR="00323A93" w:rsidRPr="00872BB3">
          <w:rPr>
            <w:rStyle w:val="Hyperlink"/>
          </w:rPr>
          <w:t>https://www.energylink.at/de/registrierung/lieferanten_versorger</w:t>
        </w:r>
      </w:hyperlink>
      <w:r w:rsidR="00323A93">
        <w:t xml:space="preserve"> </w:t>
      </w:r>
    </w:p>
    <w:p w14:paraId="51AFAB6A" w14:textId="77777777" w:rsidR="00C025BD" w:rsidRDefault="00C025BD" w:rsidP="0000091E"/>
    <w:p w14:paraId="21065DDC" w14:textId="51A1A452" w:rsidR="00BB3993" w:rsidRDefault="0000091E" w:rsidP="00744141">
      <w:r w:rsidRPr="008E2445">
        <w:t>Sollten Sie weitere Informationen oder Hilfe zum korrekten Ausfüllen des „Antragsformular</w:t>
      </w:r>
      <w:r w:rsidR="002D6223">
        <w:t>s</w:t>
      </w:r>
      <w:r w:rsidRPr="008E2445">
        <w:t xml:space="preserve"> zur Registrierung </w:t>
      </w:r>
      <w:r>
        <w:t xml:space="preserve">im </w:t>
      </w:r>
      <w:proofErr w:type="spellStart"/>
      <w:r>
        <w:t>ENERGYlink</w:t>
      </w:r>
      <w:proofErr w:type="spellEnd"/>
      <w:r>
        <w:t>“ benötigen, können</w:t>
      </w:r>
      <w:r w:rsidRPr="008E2445">
        <w:t xml:space="preserve"> Sie sich an den Kundenservice des </w:t>
      </w:r>
      <w:proofErr w:type="spellStart"/>
      <w:r w:rsidRPr="008E2445">
        <w:t>ENERGYlink</w:t>
      </w:r>
      <w:proofErr w:type="spellEnd"/>
      <w:r w:rsidRPr="008E2445">
        <w:t xml:space="preserve"> unter der E-Mail-Adresse </w:t>
      </w:r>
      <w:hyperlink r:id="rId67" w:history="1">
        <w:r w:rsidRPr="006252EF">
          <w:rPr>
            <w:rStyle w:val="Hyperlink"/>
          </w:rPr>
          <w:t>kundenservice@energylink.at</w:t>
        </w:r>
      </w:hyperlink>
      <w:r>
        <w:t xml:space="preserve"> wenden</w:t>
      </w:r>
      <w:r w:rsidRPr="008E2445">
        <w:t>.</w:t>
      </w:r>
    </w:p>
    <w:p w14:paraId="0C4B8E8D" w14:textId="77777777" w:rsidR="0059388E" w:rsidRDefault="0059388E" w:rsidP="0000091E"/>
    <w:tbl>
      <w:tblPr>
        <w:tblW w:w="0" w:type="auto"/>
        <w:tblInd w:w="55" w:type="dxa"/>
        <w:tblCellMar>
          <w:left w:w="70" w:type="dxa"/>
          <w:right w:w="70" w:type="dxa"/>
        </w:tblCellMar>
        <w:tblLook w:val="04A0" w:firstRow="1" w:lastRow="0" w:firstColumn="1" w:lastColumn="0" w:noHBand="0" w:noVBand="1"/>
      </w:tblPr>
      <w:tblGrid>
        <w:gridCol w:w="9507"/>
      </w:tblGrid>
      <w:tr w:rsidR="001E167A" w:rsidRPr="0059388E" w14:paraId="5E1A9ACD" w14:textId="77777777" w:rsidTr="00E808A8">
        <w:trPr>
          <w:trHeight w:val="255"/>
        </w:trPr>
        <w:tc>
          <w:tcPr>
            <w:tcW w:w="0" w:type="auto"/>
            <w:tcBorders>
              <w:top w:val="nil"/>
              <w:left w:val="nil"/>
              <w:bottom w:val="nil"/>
              <w:right w:val="nil"/>
            </w:tcBorders>
            <w:shd w:val="clear" w:color="000000" w:fill="95B3D7"/>
            <w:noWrap/>
            <w:vAlign w:val="center"/>
            <w:hideMark/>
          </w:tcPr>
          <w:p w14:paraId="49A87197" w14:textId="77777777" w:rsidR="001E167A" w:rsidRPr="0059388E" w:rsidRDefault="001E167A" w:rsidP="00E808A8">
            <w:pPr>
              <w:pStyle w:val="Listenabsatz"/>
              <w:spacing w:line="276" w:lineRule="auto"/>
              <w:ind w:left="0"/>
              <w:rPr>
                <w:b/>
              </w:rPr>
            </w:pPr>
            <w:r w:rsidRPr="0059388E">
              <w:rPr>
                <w:b/>
              </w:rPr>
              <w:t xml:space="preserve">Checkliste </w:t>
            </w:r>
            <w:r>
              <w:rPr>
                <w:b/>
              </w:rPr>
              <w:t>–</w:t>
            </w:r>
            <w:r w:rsidRPr="0059388E">
              <w:rPr>
                <w:b/>
              </w:rPr>
              <w:t xml:space="preserve"> Wechselplattform</w:t>
            </w:r>
          </w:p>
        </w:tc>
      </w:tr>
      <w:tr w:rsidR="001E167A" w:rsidRPr="0059388E" w14:paraId="5EC8FBC0" w14:textId="77777777" w:rsidTr="001E167A">
        <w:trPr>
          <w:trHeight w:val="737"/>
        </w:trPr>
        <w:tc>
          <w:tcPr>
            <w:tcW w:w="0" w:type="auto"/>
            <w:tcBorders>
              <w:top w:val="single" w:sz="4" w:space="0" w:color="FFFFFF"/>
              <w:left w:val="single" w:sz="4" w:space="0" w:color="FFFFFF"/>
              <w:bottom w:val="single" w:sz="4" w:space="0" w:color="FFFFFF"/>
              <w:right w:val="single" w:sz="4" w:space="0" w:color="FFFFFF"/>
            </w:tcBorders>
            <w:shd w:val="clear" w:color="000000" w:fill="BDD1E7"/>
            <w:vAlign w:val="center"/>
            <w:hideMark/>
          </w:tcPr>
          <w:p w14:paraId="3DB1885C" w14:textId="4129B30F" w:rsidR="001E167A" w:rsidRPr="0059388E" w:rsidRDefault="001E167A" w:rsidP="002D6223">
            <w:pPr>
              <w:pStyle w:val="Listenabsatz"/>
              <w:spacing w:line="276" w:lineRule="auto"/>
            </w:pPr>
            <w:r w:rsidRPr="0059388E">
              <w:t xml:space="preserve">Vertraut machen mit Prozessen, Regeln, Fristen etc. auf Basis der Wechselverordnung </w:t>
            </w:r>
            <w:r>
              <w:t>Strom</w:t>
            </w:r>
            <w:r w:rsidRPr="0059388E">
              <w:t xml:space="preserve"> sowie der </w:t>
            </w:r>
            <w:hyperlink r:id="rId68" w:history="1">
              <w:r w:rsidR="0002155A" w:rsidRPr="0002155A">
                <w:rPr>
                  <w:rStyle w:val="Hyperlink"/>
                </w:rPr>
                <w:t>Spezifikation zur Umsetzung der Wechselverordnung</w:t>
              </w:r>
            </w:hyperlink>
            <w:r w:rsidRPr="0059388E">
              <w:t>.</w:t>
            </w:r>
          </w:p>
        </w:tc>
      </w:tr>
      <w:tr w:rsidR="001E167A" w:rsidRPr="0059388E" w14:paraId="3A0C3C1D" w14:textId="77777777" w:rsidTr="001E167A">
        <w:trPr>
          <w:trHeight w:val="737"/>
        </w:trPr>
        <w:tc>
          <w:tcPr>
            <w:tcW w:w="0" w:type="auto"/>
            <w:tcBorders>
              <w:top w:val="nil"/>
              <w:left w:val="single" w:sz="4" w:space="0" w:color="FFFFFF"/>
              <w:bottom w:val="single" w:sz="4" w:space="0" w:color="FFFFFF"/>
              <w:right w:val="single" w:sz="4" w:space="0" w:color="FFFFFF"/>
            </w:tcBorders>
            <w:shd w:val="clear" w:color="000000" w:fill="DAE6F2"/>
            <w:vAlign w:val="center"/>
            <w:hideMark/>
          </w:tcPr>
          <w:p w14:paraId="5F6ED5C8" w14:textId="77777777" w:rsidR="001E167A" w:rsidRPr="0059388E" w:rsidRDefault="001E167A" w:rsidP="00E808A8">
            <w:pPr>
              <w:pStyle w:val="Listenabsatz"/>
              <w:spacing w:line="276" w:lineRule="auto"/>
            </w:pPr>
            <w:r w:rsidRPr="0059388E">
              <w:t xml:space="preserve">Kundendaten entsprechend den Anforderungen zur automatisierten Abfrage </w:t>
            </w:r>
            <w:proofErr w:type="spellStart"/>
            <w:r w:rsidRPr="0059388E">
              <w:t>bzw</w:t>
            </w:r>
            <w:proofErr w:type="spellEnd"/>
            <w:r w:rsidRPr="0059388E">
              <w:t xml:space="preserve"> Verarbeitung aufbereiten</w:t>
            </w:r>
          </w:p>
        </w:tc>
      </w:tr>
      <w:tr w:rsidR="001E167A" w:rsidRPr="0059388E" w14:paraId="5BD05003" w14:textId="77777777" w:rsidTr="00E808A8">
        <w:trPr>
          <w:trHeight w:val="510"/>
        </w:trPr>
        <w:tc>
          <w:tcPr>
            <w:tcW w:w="0" w:type="auto"/>
            <w:tcBorders>
              <w:top w:val="nil"/>
              <w:left w:val="single" w:sz="4" w:space="0" w:color="FFFFFF"/>
              <w:bottom w:val="single" w:sz="4" w:space="0" w:color="FFFFFF"/>
              <w:right w:val="single" w:sz="4" w:space="0" w:color="FFFFFF"/>
            </w:tcBorders>
            <w:shd w:val="clear" w:color="000000" w:fill="BDD1E7"/>
            <w:vAlign w:val="center"/>
            <w:hideMark/>
          </w:tcPr>
          <w:p w14:paraId="026AF1F1" w14:textId="77777777" w:rsidR="001E167A" w:rsidRPr="0059388E" w:rsidRDefault="001E167A" w:rsidP="00E808A8">
            <w:pPr>
              <w:pStyle w:val="Listenabsatz"/>
              <w:spacing w:line="276" w:lineRule="auto"/>
            </w:pPr>
            <w:r w:rsidRPr="0059388E">
              <w:t xml:space="preserve">Registrierung bei der Wechselplattform gemäß AB-BKO </w:t>
            </w:r>
          </w:p>
        </w:tc>
      </w:tr>
      <w:tr w:rsidR="001E167A" w:rsidRPr="0059388E" w14:paraId="7EA348D1" w14:textId="77777777" w:rsidTr="00744141">
        <w:trPr>
          <w:trHeight w:val="255"/>
        </w:trPr>
        <w:tc>
          <w:tcPr>
            <w:tcW w:w="0" w:type="auto"/>
            <w:tcBorders>
              <w:top w:val="single" w:sz="4" w:space="0" w:color="FFFFFF"/>
              <w:left w:val="single" w:sz="4" w:space="0" w:color="FFFFFF"/>
              <w:bottom w:val="single" w:sz="4" w:space="0" w:color="FFFFFF"/>
              <w:right w:val="single" w:sz="4" w:space="0" w:color="FFFFFF"/>
            </w:tcBorders>
            <w:shd w:val="clear" w:color="000000" w:fill="DAE6F2"/>
            <w:noWrap/>
            <w:vAlign w:val="center"/>
          </w:tcPr>
          <w:p w14:paraId="619A7C66" w14:textId="4BF1A98B" w:rsidR="001E167A" w:rsidRPr="0059388E" w:rsidRDefault="00744141" w:rsidP="00E808A8">
            <w:pPr>
              <w:pStyle w:val="Listenabsatz"/>
              <w:spacing w:line="276" w:lineRule="auto"/>
            </w:pPr>
            <w:r w:rsidRPr="0059388E">
              <w:rPr>
                <w:b/>
              </w:rPr>
              <w:t xml:space="preserve"> Optional</w:t>
            </w:r>
            <w:r w:rsidRPr="0059388E">
              <w:t xml:space="preserve"> bei Nutzung des </w:t>
            </w:r>
            <w:proofErr w:type="spellStart"/>
            <w:r w:rsidRPr="0059388E">
              <w:t>Self</w:t>
            </w:r>
            <w:proofErr w:type="spellEnd"/>
            <w:r w:rsidRPr="0059388E">
              <w:t xml:space="preserve"> Storage: Hochladen der Kundendaten</w:t>
            </w:r>
          </w:p>
        </w:tc>
      </w:tr>
    </w:tbl>
    <w:p w14:paraId="23E3743B" w14:textId="77777777" w:rsidR="0000091E" w:rsidRDefault="0000091E" w:rsidP="0000091E">
      <w:pPr>
        <w:rPr>
          <w:b/>
        </w:rPr>
      </w:pPr>
    </w:p>
    <w:p w14:paraId="67EED053" w14:textId="77777777" w:rsidR="0000091E" w:rsidRDefault="0000091E" w:rsidP="0000091E">
      <w:pPr>
        <w:rPr>
          <w:b/>
        </w:rPr>
      </w:pPr>
      <w:r>
        <w:rPr>
          <w:b/>
        </w:rPr>
        <w:t>Tipps und Hinweise</w:t>
      </w:r>
    </w:p>
    <w:p w14:paraId="4FBAF8A3" w14:textId="3BBC955B" w:rsidR="0000091E" w:rsidRDefault="0000091E" w:rsidP="0000091E">
      <w:r>
        <w:lastRenderedPageBreak/>
        <w:t xml:space="preserve">Für kleinere Unternehmen, die neu </w:t>
      </w:r>
      <w:r w:rsidR="00697994">
        <w:t xml:space="preserve">in </w:t>
      </w:r>
      <w:r>
        <w:t xml:space="preserve">den Markt eintreten und </w:t>
      </w:r>
      <w:r w:rsidR="000769BC">
        <w:t xml:space="preserve">die </w:t>
      </w:r>
      <w:r>
        <w:t>in der Anfangsphase nur</w:t>
      </w:r>
      <w:r w:rsidR="000769BC">
        <w:t xml:space="preserve"> </w:t>
      </w:r>
      <w:r w:rsidR="0069208F">
        <w:t>mit einer</w:t>
      </w:r>
      <w:r>
        <w:t xml:space="preserve"> </w:t>
      </w:r>
      <w:r w:rsidR="000769BC">
        <w:t xml:space="preserve">geringen </w:t>
      </w:r>
      <w:r>
        <w:t xml:space="preserve">Anzahl von Kundenwechseln </w:t>
      </w:r>
      <w:r w:rsidR="000769BC">
        <w:t>konfrontiert sind</w:t>
      </w:r>
      <w:r>
        <w:t>, ist es empfehlenswert die Serviceleistung der Verrechnungsstelle (Self-Storage) zu</w:t>
      </w:r>
      <w:r w:rsidR="0042476C">
        <w:t>r</w:t>
      </w:r>
      <w:r>
        <w:t xml:space="preserve"> Abwicklung der </w:t>
      </w:r>
      <w:r w:rsidR="0042476C">
        <w:t>Ver</w:t>
      </w:r>
      <w:r w:rsidR="00D45E03">
        <w:t>sorger</w:t>
      </w:r>
      <w:r w:rsidR="0042476C">
        <w:t>wechsel sowie An- und Abmeldungen von Endverbrauchern</w:t>
      </w:r>
      <w:r w:rsidR="0042476C" w:rsidDel="0042476C">
        <w:t xml:space="preserve"> </w:t>
      </w:r>
      <w:r>
        <w:t xml:space="preserve">zu verwenden. Damit entfallen aufwendige IT-Implementierungen und Anpassungen. Für einen wachsenden Kundenstock und eine größere Anzahl von Kundenwechsel ist die Self-Storage Lösung nicht gedacht. Hier empfehlen wir Ihnen rechtzeitig mit den entsprechenden Dienstleistern und IT-Providern in Verbindung zu treten um die eigenen IT-Systeme entsprechend den Regelungen anzupassen. Die Gesamtzeit der Registrierung und Implementierung der </w:t>
      </w:r>
      <w:r w:rsidR="0042476C">
        <w:t xml:space="preserve">Wechselplattform-Dienste </w:t>
      </w:r>
      <w:r>
        <w:t xml:space="preserve">hängt von Ihren unternehmensinternen IT-Systemen und deren </w:t>
      </w:r>
      <w:r w:rsidR="000769BC">
        <w:t xml:space="preserve">etwaigen </w:t>
      </w:r>
      <w:r>
        <w:t>Anpassungsbedarf bzw. ob die Self-Storage Lösung für Ihr Unternehmen (zumindest am Anfang) ausreicht</w:t>
      </w:r>
      <w:r w:rsidR="002F0117">
        <w:t xml:space="preserve"> ab</w:t>
      </w:r>
      <w:r>
        <w:t>.</w:t>
      </w:r>
      <w:r w:rsidR="0002155A">
        <w:t xml:space="preserve"> Es wird empfohlen, im Zuge der </w:t>
      </w:r>
      <w:r w:rsidR="008A59B7">
        <w:t xml:space="preserve">Versionierung bzw. </w:t>
      </w:r>
      <w:r w:rsidR="007C6EFD">
        <w:t>laufenden</w:t>
      </w:r>
      <w:r w:rsidR="0002155A">
        <w:t xml:space="preserve"> Weiterentwicklung der </w:t>
      </w:r>
      <w:hyperlink r:id="rId69" w:history="1">
        <w:r w:rsidR="0002155A" w:rsidRPr="0002155A">
          <w:rPr>
            <w:rStyle w:val="Hyperlink"/>
          </w:rPr>
          <w:t>Spezifikation zur Umsetzung der Wechselverordnung</w:t>
        </w:r>
      </w:hyperlink>
      <w:r w:rsidR="008A59B7">
        <w:t xml:space="preserve">, sich in den Prozess durch Abgabe von Stellungnahmen im Zuge </w:t>
      </w:r>
      <w:r w:rsidR="00E205DF">
        <w:t>der wiederkehrenden</w:t>
      </w:r>
      <w:r w:rsidR="00E205DF" w:rsidDel="00E205DF">
        <w:t xml:space="preserve"> </w:t>
      </w:r>
      <w:r w:rsidR="008A59B7">
        <w:t>Konsultationsverfahren einzubinden</w:t>
      </w:r>
      <w:r w:rsidR="007C6EFD">
        <w:t>.</w:t>
      </w:r>
    </w:p>
    <w:p w14:paraId="52E1620D" w14:textId="77777777" w:rsidR="002E6BE7" w:rsidRDefault="002E6BE7" w:rsidP="0000091E"/>
    <w:p w14:paraId="2B7B6896" w14:textId="77777777" w:rsidR="002E6BE7" w:rsidRDefault="002E6BE7" w:rsidP="005323A3">
      <w:pPr>
        <w:pStyle w:val="berschrift2"/>
        <w:keepNext/>
        <w:widowControl/>
        <w:numPr>
          <w:ilvl w:val="0"/>
          <w:numId w:val="3"/>
        </w:numPr>
        <w:overflowPunct/>
        <w:autoSpaceDE/>
        <w:autoSpaceDN/>
        <w:adjustRightInd/>
        <w:spacing w:before="200" w:after="0" w:line="276" w:lineRule="auto"/>
        <w:jc w:val="left"/>
        <w:textAlignment w:val="auto"/>
      </w:pPr>
      <w:bookmarkStart w:id="31" w:name="_Toc31376448"/>
      <w:r>
        <w:t>Stromnachweisdatenbank – Registrierung</w:t>
      </w:r>
      <w:bookmarkEnd w:id="31"/>
    </w:p>
    <w:p w14:paraId="3868107E" w14:textId="77777777" w:rsidR="002E6BE7" w:rsidRDefault="002E6BE7" w:rsidP="00955CF5">
      <w:pPr>
        <w:keepNext/>
      </w:pPr>
    </w:p>
    <w:p w14:paraId="0B4D8EFD" w14:textId="77777777" w:rsidR="002E6BE7" w:rsidRPr="00EF5725" w:rsidRDefault="002E6BE7" w:rsidP="00955CF5">
      <w:pPr>
        <w:keepNext/>
        <w:rPr>
          <w:b/>
        </w:rPr>
      </w:pPr>
      <w:r w:rsidRPr="00EF5725">
        <w:rPr>
          <w:b/>
        </w:rPr>
        <w:t>Rechtliche Grundlage</w:t>
      </w:r>
    </w:p>
    <w:p w14:paraId="397331E3" w14:textId="77777777" w:rsidR="002E6BE7" w:rsidRDefault="00F26E1C" w:rsidP="00955CF5">
      <w:pPr>
        <w:keepNext/>
      </w:pPr>
      <w:hyperlink r:id="rId70" w:history="1">
        <w:r w:rsidR="002E6BE7" w:rsidRPr="00CA72E0">
          <w:rPr>
            <w:rStyle w:val="Hyperlink"/>
          </w:rPr>
          <w:t xml:space="preserve">§ 10 </w:t>
        </w:r>
        <w:proofErr w:type="spellStart"/>
        <w:r w:rsidR="002E6BE7" w:rsidRPr="00CA72E0">
          <w:rPr>
            <w:rStyle w:val="Hyperlink"/>
          </w:rPr>
          <w:t>ÖkostromG</w:t>
        </w:r>
        <w:proofErr w:type="spellEnd"/>
      </w:hyperlink>
      <w:r w:rsidR="002E6BE7">
        <w:t xml:space="preserve"> , </w:t>
      </w:r>
      <w:hyperlink r:id="rId71" w:history="1">
        <w:r w:rsidR="002E6BE7" w:rsidRPr="00C46FB6">
          <w:rPr>
            <w:rStyle w:val="Hyperlink"/>
          </w:rPr>
          <w:t xml:space="preserve">§§ 78 bis 79a </w:t>
        </w:r>
        <w:proofErr w:type="spellStart"/>
        <w:r w:rsidR="002E6BE7" w:rsidRPr="00C46FB6">
          <w:rPr>
            <w:rStyle w:val="Hyperlink"/>
          </w:rPr>
          <w:t>ElWOG</w:t>
        </w:r>
        <w:proofErr w:type="spellEnd"/>
        <w:r w:rsidR="002E6BE7" w:rsidRPr="00C46FB6">
          <w:rPr>
            <w:rStyle w:val="Hyperlink"/>
          </w:rPr>
          <w:t xml:space="preserve"> 2010</w:t>
        </w:r>
      </w:hyperlink>
    </w:p>
    <w:p w14:paraId="134DB13A" w14:textId="77777777" w:rsidR="002E6BE7" w:rsidRDefault="002E6BE7" w:rsidP="00955CF5">
      <w:pPr>
        <w:keepNext/>
        <w:rPr>
          <w:b/>
        </w:rPr>
      </w:pPr>
    </w:p>
    <w:p w14:paraId="2694B6CB" w14:textId="77777777" w:rsidR="002E6BE7" w:rsidRPr="00EF5725" w:rsidRDefault="002E6BE7" w:rsidP="00955CF5">
      <w:pPr>
        <w:keepNext/>
        <w:rPr>
          <w:b/>
        </w:rPr>
      </w:pPr>
      <w:r w:rsidRPr="00EF5725">
        <w:rPr>
          <w:b/>
        </w:rPr>
        <w:t>Kurzbeschreibung</w:t>
      </w:r>
    </w:p>
    <w:p w14:paraId="3235507B" w14:textId="77777777" w:rsidR="002E6BE7" w:rsidRDefault="002E6BE7" w:rsidP="00955CF5">
      <w:pPr>
        <w:keepNext/>
      </w:pPr>
      <w:r>
        <w:t xml:space="preserve">Jeder Stromlieferant, der in Österreich Endkunden beliefert, erhält aufgrund eines Verteilschlüssels eine bestimmte Menge an Stromnachweisen aller geförderten Ökostrom-Anlagen von der </w:t>
      </w:r>
      <w:proofErr w:type="spellStart"/>
      <w:r>
        <w:t>OeMAG</w:t>
      </w:r>
      <w:proofErr w:type="spellEnd"/>
      <w:r>
        <w:t xml:space="preserve"> auf sein Lieferantenkonto zugewiesen. Stromnachweise von nicht geförderten (Ökostrom-) Anlagen können, wenn der zuständige Netzbetreiber die Erzeugungsmengen in die Stromnachweis-Datenbank eingibt, vom Anlagenbetreiber dem Stromlieferanten elektronisch auf sein Konto überwiesen werden. Die gesamte Abwicklung findet auf der Website der Österreichischen Stromnachweisdatenbank: </w:t>
      </w:r>
      <w:hyperlink r:id="rId72" w:history="1">
        <w:r>
          <w:rPr>
            <w:rStyle w:val="Hyperlink"/>
          </w:rPr>
          <w:t>https://www.stromnachweis.at</w:t>
        </w:r>
      </w:hyperlink>
      <w:r>
        <w:rPr>
          <w:rStyle w:val="Hyperlink"/>
        </w:rPr>
        <w:t xml:space="preserve"> </w:t>
      </w:r>
      <w:r>
        <w:t>statt.</w:t>
      </w:r>
    </w:p>
    <w:p w14:paraId="425D4424" w14:textId="77777777" w:rsidR="002E6BE7" w:rsidRDefault="002E6BE7" w:rsidP="002E6BE7">
      <w:r>
        <w:t>Die Nachweise können vom Lieferanten dann entweder für die Stromkennzeichnung eingesetzt werden (</w:t>
      </w:r>
      <w:r w:rsidRPr="00ED275C">
        <w:rPr>
          <w:color w:val="0033CC"/>
        </w:rPr>
        <w:t xml:space="preserve">siehe Kap </w:t>
      </w:r>
      <w:r w:rsidRPr="00ED275C">
        <w:rPr>
          <w:color w:val="0033CC"/>
        </w:rPr>
        <w:fldChar w:fldCharType="begin"/>
      </w:r>
      <w:r w:rsidRPr="00ED275C">
        <w:rPr>
          <w:color w:val="0033CC"/>
        </w:rPr>
        <w:instrText xml:space="preserve"> REF _Ref378075299 \h </w:instrText>
      </w:r>
      <w:r>
        <w:rPr>
          <w:color w:val="0033CC"/>
        </w:rPr>
        <w:instrText xml:space="preserve"> \* MERGEFORMAT </w:instrText>
      </w:r>
      <w:r w:rsidRPr="00ED275C">
        <w:rPr>
          <w:color w:val="0033CC"/>
        </w:rPr>
      </w:r>
      <w:r w:rsidRPr="00ED275C">
        <w:rPr>
          <w:color w:val="0033CC"/>
        </w:rPr>
        <w:fldChar w:fldCharType="separate"/>
      </w:r>
      <w:r w:rsidRPr="003D5833">
        <w:rPr>
          <w:color w:val="0033CC"/>
        </w:rPr>
        <w:t>Stromkennzeichnung</w:t>
      </w:r>
      <w:r w:rsidRPr="00ED275C">
        <w:rPr>
          <w:color w:val="0033CC"/>
        </w:rPr>
        <w:fldChar w:fldCharType="end"/>
      </w:r>
      <w:r>
        <w:t>) oder auf das Konto eines anderen Stromlieferanten bzw. -händler weiter transferiert werden.</w:t>
      </w:r>
    </w:p>
    <w:p w14:paraId="0F0C0188" w14:textId="77777777" w:rsidR="002E6BE7" w:rsidRDefault="002E6BE7" w:rsidP="002E6BE7"/>
    <w:p w14:paraId="5AA379D3" w14:textId="77777777" w:rsidR="002E6BE7" w:rsidRDefault="002E6BE7" w:rsidP="002E6BE7">
      <w:pPr>
        <w:keepNext/>
        <w:rPr>
          <w:b/>
        </w:rPr>
      </w:pPr>
      <w:r>
        <w:rPr>
          <w:b/>
        </w:rPr>
        <w:lastRenderedPageBreak/>
        <w:t xml:space="preserve">Handlungsanweisung - Ablauf der Registrierung in der Stromnachweisdatenbank: </w:t>
      </w:r>
    </w:p>
    <w:p w14:paraId="4C856F10" w14:textId="77777777" w:rsidR="002E6BE7" w:rsidRDefault="002E6BE7" w:rsidP="002E6BE7">
      <w:pPr>
        <w:pStyle w:val="Listenabsatz"/>
        <w:keepNext/>
        <w:numPr>
          <w:ilvl w:val="0"/>
          <w:numId w:val="8"/>
        </w:numPr>
        <w:spacing w:after="0"/>
      </w:pPr>
      <w:r>
        <w:t>Onlineregistrierung für Benutzerkonto „Stromlieferant“</w:t>
      </w:r>
      <w:r>
        <w:br/>
      </w:r>
      <w:hyperlink r:id="rId73" w:history="1">
        <w:r>
          <w:rPr>
            <w:rStyle w:val="Hyperlink"/>
          </w:rPr>
          <w:t>https://www.stromnachweis.at/stammdaten_unternehmen_registrieren.asp</w:t>
        </w:r>
      </w:hyperlink>
    </w:p>
    <w:p w14:paraId="3602A9BB" w14:textId="77777777" w:rsidR="002E6BE7" w:rsidRDefault="002E6BE7" w:rsidP="002E6BE7">
      <w:pPr>
        <w:pStyle w:val="Listenabsatz"/>
        <w:numPr>
          <w:ilvl w:val="0"/>
          <w:numId w:val="8"/>
        </w:numPr>
        <w:spacing w:after="0"/>
      </w:pPr>
      <w:r>
        <w:t>Direkt nach der Registrierung erhalten Sie ein Bestätigungsmail,</w:t>
      </w:r>
      <w:r>
        <w:br/>
        <w:t>darin wird Ihnen Ihre Benutzerkennung für das LOGIN mitgeteilt.</w:t>
      </w:r>
    </w:p>
    <w:p w14:paraId="1F363A83" w14:textId="77777777" w:rsidR="002E6BE7" w:rsidRDefault="002E6BE7" w:rsidP="002E6BE7">
      <w:pPr>
        <w:pStyle w:val="Listenabsatz"/>
        <w:numPr>
          <w:ilvl w:val="0"/>
          <w:numId w:val="8"/>
        </w:numPr>
        <w:spacing w:after="0"/>
      </w:pPr>
      <w:r>
        <w:t>Per Post erhalten Sie ein Sicherheitskuvert mit Ihrem Passwort und PIN.</w:t>
      </w:r>
    </w:p>
    <w:p w14:paraId="7E6F6351" w14:textId="77777777" w:rsidR="002E6BE7" w:rsidRDefault="002E6BE7" w:rsidP="002E6BE7">
      <w:pPr>
        <w:pStyle w:val="Listenabsatz"/>
        <w:numPr>
          <w:ilvl w:val="0"/>
          <w:numId w:val="8"/>
        </w:numPr>
        <w:spacing w:after="0"/>
      </w:pPr>
      <w:r>
        <w:t>Mit Ihren Zugangsdaten (Benutzerkennung und Passwort)</w:t>
      </w:r>
    </w:p>
    <w:p w14:paraId="22E8FB2C" w14:textId="38A18805" w:rsidR="007C6EFD" w:rsidRDefault="002E6BE7" w:rsidP="007C6EFD">
      <w:pPr>
        <w:pStyle w:val="Listenabsatz"/>
        <w:spacing w:after="0"/>
        <w:ind w:left="1413"/>
      </w:pPr>
      <w:r>
        <w:t>können Sie sich nun als Stromlieferant in die Stromnachweisdatenbank</w:t>
      </w:r>
      <w:r w:rsidR="007C6EFD">
        <w:t xml:space="preserve"> </w:t>
      </w:r>
      <w:r>
        <w:t>einloggen.</w:t>
      </w:r>
    </w:p>
    <w:p w14:paraId="70FADCCB" w14:textId="6CE87D82" w:rsidR="002E6BE7" w:rsidRDefault="007C6EFD" w:rsidP="00136CBE">
      <w:pPr>
        <w:pStyle w:val="Listenabsatz"/>
        <w:numPr>
          <w:ilvl w:val="0"/>
          <w:numId w:val="8"/>
        </w:numPr>
      </w:pPr>
      <w:r w:rsidRPr="009D6D44">
        <w:t>E</w:t>
      </w:r>
      <w:r>
        <w:t>-</w:t>
      </w:r>
      <w:r w:rsidRPr="009D6D44">
        <w:t>Mail</w:t>
      </w:r>
      <w:r w:rsidR="00B94184" w:rsidRPr="009D6D44">
        <w:t xml:space="preserve"> an </w:t>
      </w:r>
      <w:hyperlink r:id="rId74" w:history="1">
        <w:r w:rsidR="00B94184" w:rsidRPr="009D6D44">
          <w:rPr>
            <w:rStyle w:val="Hyperlink"/>
            <w:lang w:val="de-AT"/>
          </w:rPr>
          <w:t>stromnachweis@e-control.at</w:t>
        </w:r>
      </w:hyperlink>
      <w:r w:rsidR="00B94184" w:rsidRPr="009D6D44">
        <w:t>: Mitteilu</w:t>
      </w:r>
      <w:r w:rsidR="00B94184">
        <w:t xml:space="preserve">ng der EIC-Nr. (Stromlieferant) für die monatliche Ökostromzuweisung der </w:t>
      </w:r>
      <w:proofErr w:type="spellStart"/>
      <w:r w:rsidR="00B94184">
        <w:t>OeMAG</w:t>
      </w:r>
      <w:proofErr w:type="spellEnd"/>
    </w:p>
    <w:p w14:paraId="62F53A20" w14:textId="77777777" w:rsidR="002E6BE7" w:rsidRDefault="002E6BE7" w:rsidP="002E6BE7">
      <w:r>
        <w:t>Informationen über die Aufgaben des Stromlieferanten in der Datenbank finden Sie in den</w:t>
      </w:r>
      <w:r>
        <w:br/>
        <w:t>Benutzerhandbüchern auf der Homepage (Allgemeiner Teil und Anhang C):</w:t>
      </w:r>
    </w:p>
    <w:p w14:paraId="74C3CA7E" w14:textId="77777777" w:rsidR="00C90BDD" w:rsidRPr="006A1D8B" w:rsidRDefault="00F26E1C" w:rsidP="00C90BDD">
      <w:hyperlink r:id="rId75" w:history="1">
        <w:r w:rsidR="00C90BDD" w:rsidRPr="006A1D8B">
          <w:rPr>
            <w:rStyle w:val="Hyperlink"/>
          </w:rPr>
          <w:t>https://www.e-control.at/stromnachweis/download/handbucher</w:t>
        </w:r>
      </w:hyperlink>
    </w:p>
    <w:p w14:paraId="163C410E" w14:textId="77777777" w:rsidR="000170B5" w:rsidRDefault="000170B5" w:rsidP="002E6BE7">
      <w:pPr>
        <w:rPr>
          <w:b/>
        </w:rPr>
      </w:pPr>
    </w:p>
    <w:p w14:paraId="2098848A" w14:textId="70C3E044" w:rsidR="002E6BE7" w:rsidRDefault="002E6BE7" w:rsidP="002E6BE7">
      <w:r>
        <w:rPr>
          <w:b/>
        </w:rPr>
        <w:t>Kontakt:</w:t>
      </w:r>
      <w:r>
        <w:t xml:space="preserve"> </w:t>
      </w:r>
      <w:hyperlink r:id="rId76" w:history="1">
        <w:r>
          <w:rPr>
            <w:rStyle w:val="Hyperlink"/>
          </w:rPr>
          <w:t>stromnachweis@e-control.at</w:t>
        </w:r>
      </w:hyperlink>
      <w:r>
        <w:t xml:space="preserve"> sowie +43 (0)1 24724-0</w:t>
      </w:r>
      <w:r w:rsidR="00E934F3">
        <w:t xml:space="preserve"> oder DW 712</w:t>
      </w:r>
    </w:p>
    <w:p w14:paraId="16215C6E" w14:textId="77777777" w:rsidR="002E6BE7" w:rsidRDefault="002E6BE7" w:rsidP="00955CF5">
      <w:pPr>
        <w:keepNext/>
      </w:pPr>
    </w:p>
    <w:tbl>
      <w:tblPr>
        <w:tblW w:w="0" w:type="auto"/>
        <w:tblInd w:w="55" w:type="dxa"/>
        <w:tblCellMar>
          <w:left w:w="70" w:type="dxa"/>
          <w:right w:w="70" w:type="dxa"/>
        </w:tblCellMar>
        <w:tblLook w:val="04A0" w:firstRow="1" w:lastRow="0" w:firstColumn="1" w:lastColumn="0" w:noHBand="0" w:noVBand="1"/>
      </w:tblPr>
      <w:tblGrid>
        <w:gridCol w:w="7464"/>
        <w:gridCol w:w="1289"/>
      </w:tblGrid>
      <w:tr w:rsidR="002E6BE7" w:rsidRPr="009D6189" w14:paraId="5B6A4A19" w14:textId="77777777" w:rsidTr="00616E88">
        <w:trPr>
          <w:trHeight w:val="255"/>
        </w:trPr>
        <w:tc>
          <w:tcPr>
            <w:tcW w:w="0" w:type="auto"/>
            <w:tcBorders>
              <w:top w:val="nil"/>
              <w:left w:val="nil"/>
              <w:bottom w:val="nil"/>
              <w:right w:val="nil"/>
            </w:tcBorders>
            <w:shd w:val="clear" w:color="000000" w:fill="95B3D7"/>
            <w:noWrap/>
            <w:vAlign w:val="center"/>
            <w:hideMark/>
          </w:tcPr>
          <w:p w14:paraId="18E3A794" w14:textId="77777777" w:rsidR="002E6BE7" w:rsidRPr="009D6189" w:rsidRDefault="002E6BE7" w:rsidP="00955CF5">
            <w:pPr>
              <w:pStyle w:val="Listenabsatz"/>
              <w:keepNext/>
              <w:spacing w:line="276" w:lineRule="auto"/>
              <w:ind w:left="0"/>
              <w:rPr>
                <w:b/>
              </w:rPr>
            </w:pPr>
            <w:r w:rsidRPr="009D6189">
              <w:rPr>
                <w:b/>
              </w:rPr>
              <w:t xml:space="preserve">Checkliste </w:t>
            </w:r>
            <w:r>
              <w:rPr>
                <w:b/>
              </w:rPr>
              <w:t>–</w:t>
            </w:r>
            <w:r w:rsidRPr="009D6189">
              <w:rPr>
                <w:b/>
              </w:rPr>
              <w:t xml:space="preserve"> Strom</w:t>
            </w:r>
            <w:r>
              <w:rPr>
                <w:b/>
              </w:rPr>
              <w:t>nachweisdatenbank</w:t>
            </w:r>
          </w:p>
        </w:tc>
        <w:tc>
          <w:tcPr>
            <w:tcW w:w="0" w:type="auto"/>
            <w:tcBorders>
              <w:top w:val="nil"/>
              <w:left w:val="nil"/>
              <w:bottom w:val="nil"/>
              <w:right w:val="nil"/>
            </w:tcBorders>
            <w:shd w:val="clear" w:color="000000" w:fill="95B3D7"/>
            <w:noWrap/>
            <w:vAlign w:val="center"/>
            <w:hideMark/>
          </w:tcPr>
          <w:p w14:paraId="70A09468" w14:textId="77777777" w:rsidR="002E6BE7" w:rsidRPr="009D6189" w:rsidRDefault="002E6BE7" w:rsidP="00955CF5">
            <w:pPr>
              <w:pStyle w:val="Listenabsatz"/>
              <w:keepNext/>
              <w:spacing w:line="276" w:lineRule="auto"/>
              <w:rPr>
                <w:b/>
              </w:rPr>
            </w:pPr>
            <w:r w:rsidRPr="009D6189">
              <w:rPr>
                <w:b/>
              </w:rPr>
              <w:t>AT*</w:t>
            </w:r>
          </w:p>
        </w:tc>
      </w:tr>
      <w:tr w:rsidR="002E6BE7" w:rsidRPr="00437F3E" w14:paraId="6355DC6D" w14:textId="77777777" w:rsidTr="00616E88">
        <w:trPr>
          <w:trHeight w:val="255"/>
        </w:trPr>
        <w:tc>
          <w:tcPr>
            <w:tcW w:w="0" w:type="auto"/>
            <w:tcBorders>
              <w:top w:val="single" w:sz="4" w:space="0" w:color="FFFFFF"/>
              <w:left w:val="single" w:sz="4" w:space="0" w:color="FFFFFF"/>
              <w:bottom w:val="single" w:sz="4" w:space="0" w:color="FFFFFF"/>
              <w:right w:val="single" w:sz="4" w:space="0" w:color="FFFFFF"/>
            </w:tcBorders>
            <w:shd w:val="clear" w:color="000000" w:fill="DAE6F2"/>
            <w:vAlign w:val="center"/>
            <w:hideMark/>
          </w:tcPr>
          <w:p w14:paraId="17A985B7" w14:textId="77777777" w:rsidR="002E6BE7" w:rsidRPr="00437F3E" w:rsidRDefault="002E6BE7" w:rsidP="00955CF5">
            <w:pPr>
              <w:pStyle w:val="Listenabsatz"/>
              <w:keepNext/>
              <w:spacing w:line="276" w:lineRule="auto"/>
            </w:pPr>
            <w:r w:rsidRPr="00437F3E">
              <w:rPr>
                <w:rFonts w:eastAsia="Symbol" w:cs="Symbol"/>
              </w:rPr>
              <w:t>Vertraut machen mit den Inhalten des Benutzerhandbuchs</w:t>
            </w:r>
          </w:p>
        </w:tc>
        <w:tc>
          <w:tcPr>
            <w:tcW w:w="0" w:type="auto"/>
            <w:tcBorders>
              <w:top w:val="single" w:sz="4" w:space="0" w:color="FFFFFF"/>
              <w:left w:val="nil"/>
              <w:bottom w:val="single" w:sz="4" w:space="0" w:color="FFFFFF"/>
              <w:right w:val="single" w:sz="4" w:space="0" w:color="FFFFFF"/>
            </w:tcBorders>
            <w:shd w:val="clear" w:color="000000" w:fill="DAE6F2"/>
            <w:noWrap/>
            <w:vAlign w:val="center"/>
            <w:hideMark/>
          </w:tcPr>
          <w:p w14:paraId="5D7B6EC8" w14:textId="77777777" w:rsidR="002E6BE7" w:rsidRPr="00437F3E" w:rsidRDefault="002E6BE7" w:rsidP="00955CF5">
            <w:pPr>
              <w:pStyle w:val="Listenabsatz"/>
              <w:keepNext/>
              <w:spacing w:line="276" w:lineRule="auto"/>
            </w:pPr>
            <w:r>
              <w:t>1</w:t>
            </w:r>
            <w:r w:rsidRPr="00437F3E">
              <w:t> </w:t>
            </w:r>
          </w:p>
        </w:tc>
      </w:tr>
      <w:tr w:rsidR="002E6BE7" w:rsidRPr="00437F3E" w14:paraId="6D75B417" w14:textId="77777777" w:rsidTr="00616E88">
        <w:trPr>
          <w:trHeight w:val="255"/>
        </w:trPr>
        <w:tc>
          <w:tcPr>
            <w:tcW w:w="0" w:type="auto"/>
            <w:tcBorders>
              <w:top w:val="nil"/>
              <w:left w:val="single" w:sz="4" w:space="0" w:color="FFFFFF"/>
              <w:bottom w:val="single" w:sz="4" w:space="0" w:color="FFFFFF"/>
              <w:right w:val="single" w:sz="4" w:space="0" w:color="FFFFFF"/>
            </w:tcBorders>
            <w:shd w:val="clear" w:color="000000" w:fill="BDD1E7"/>
            <w:vAlign w:val="center"/>
            <w:hideMark/>
          </w:tcPr>
          <w:p w14:paraId="6FF61F68" w14:textId="77777777" w:rsidR="002E6BE7" w:rsidRPr="00437F3E" w:rsidRDefault="002E6BE7" w:rsidP="00616E88">
            <w:pPr>
              <w:pStyle w:val="Listenabsatz"/>
              <w:spacing w:line="276" w:lineRule="auto"/>
            </w:pPr>
            <w:r w:rsidRPr="00437F3E">
              <w:rPr>
                <w:rFonts w:eastAsia="Symbol" w:cs="Symbol"/>
              </w:rPr>
              <w:t>Benutzerkonto eröffnen</w:t>
            </w:r>
          </w:p>
        </w:tc>
        <w:tc>
          <w:tcPr>
            <w:tcW w:w="0" w:type="auto"/>
            <w:tcBorders>
              <w:top w:val="nil"/>
              <w:left w:val="nil"/>
              <w:bottom w:val="single" w:sz="4" w:space="0" w:color="FFFFFF"/>
              <w:right w:val="single" w:sz="4" w:space="0" w:color="FFFFFF"/>
            </w:tcBorders>
            <w:shd w:val="clear" w:color="000000" w:fill="BDD1E7"/>
            <w:noWrap/>
            <w:vAlign w:val="center"/>
            <w:hideMark/>
          </w:tcPr>
          <w:p w14:paraId="501FC281" w14:textId="77777777" w:rsidR="002E6BE7" w:rsidRPr="00437F3E" w:rsidRDefault="002E6BE7" w:rsidP="00616E88">
            <w:pPr>
              <w:pStyle w:val="Listenabsatz"/>
              <w:spacing w:line="276" w:lineRule="auto"/>
            </w:pPr>
            <w:r>
              <w:t>0,25</w:t>
            </w:r>
          </w:p>
        </w:tc>
      </w:tr>
      <w:tr w:rsidR="002E6BE7" w:rsidRPr="00437F3E" w14:paraId="56F785AD" w14:textId="77777777" w:rsidTr="00616E88">
        <w:trPr>
          <w:trHeight w:val="255"/>
        </w:trPr>
        <w:tc>
          <w:tcPr>
            <w:tcW w:w="0" w:type="auto"/>
            <w:tcBorders>
              <w:top w:val="nil"/>
              <w:left w:val="single" w:sz="4" w:space="0" w:color="FFFFFF"/>
              <w:bottom w:val="single" w:sz="4" w:space="0" w:color="FFFFFF"/>
              <w:right w:val="single" w:sz="4" w:space="0" w:color="FFFFFF"/>
            </w:tcBorders>
            <w:shd w:val="clear" w:color="000000" w:fill="DAE6F2"/>
            <w:vAlign w:val="center"/>
            <w:hideMark/>
          </w:tcPr>
          <w:p w14:paraId="578ABF67" w14:textId="77777777" w:rsidR="002E6BE7" w:rsidRPr="00437F3E" w:rsidRDefault="002E6BE7" w:rsidP="00616E88">
            <w:pPr>
              <w:pStyle w:val="Listenabsatz"/>
              <w:spacing w:line="276" w:lineRule="auto"/>
            </w:pPr>
            <w:r w:rsidRPr="00437F3E">
              <w:rPr>
                <w:rFonts w:eastAsia="Symbol" w:cs="Symbol"/>
              </w:rPr>
              <w:t>Formular in Onlineregistrierung ausfüllen</w:t>
            </w:r>
          </w:p>
        </w:tc>
        <w:tc>
          <w:tcPr>
            <w:tcW w:w="0" w:type="auto"/>
            <w:tcBorders>
              <w:top w:val="nil"/>
              <w:left w:val="nil"/>
              <w:bottom w:val="single" w:sz="4" w:space="0" w:color="FFFFFF"/>
              <w:right w:val="single" w:sz="4" w:space="0" w:color="FFFFFF"/>
            </w:tcBorders>
            <w:shd w:val="clear" w:color="000000" w:fill="DAE6F2"/>
            <w:noWrap/>
            <w:vAlign w:val="center"/>
            <w:hideMark/>
          </w:tcPr>
          <w:p w14:paraId="00DDC5BD" w14:textId="77777777" w:rsidR="002E6BE7" w:rsidRPr="00437F3E" w:rsidRDefault="002E6BE7" w:rsidP="00616E88">
            <w:pPr>
              <w:pStyle w:val="Listenabsatz"/>
              <w:spacing w:line="276" w:lineRule="auto"/>
            </w:pPr>
            <w:r>
              <w:t>0,1</w:t>
            </w:r>
          </w:p>
        </w:tc>
      </w:tr>
      <w:tr w:rsidR="002E6BE7" w:rsidRPr="00437F3E" w14:paraId="2E325454" w14:textId="77777777" w:rsidTr="00616E88">
        <w:trPr>
          <w:trHeight w:val="255"/>
        </w:trPr>
        <w:tc>
          <w:tcPr>
            <w:tcW w:w="0" w:type="auto"/>
            <w:tcBorders>
              <w:top w:val="nil"/>
              <w:left w:val="single" w:sz="4" w:space="0" w:color="FFFFFF"/>
              <w:bottom w:val="single" w:sz="4" w:space="0" w:color="FFFFFF"/>
              <w:right w:val="single" w:sz="4" w:space="0" w:color="FFFFFF"/>
            </w:tcBorders>
            <w:shd w:val="clear" w:color="000000" w:fill="BDD1E7"/>
            <w:vAlign w:val="center"/>
            <w:hideMark/>
          </w:tcPr>
          <w:p w14:paraId="70D02985" w14:textId="77777777" w:rsidR="002E6BE7" w:rsidRPr="00437F3E" w:rsidRDefault="002E6BE7" w:rsidP="00616E88">
            <w:pPr>
              <w:pStyle w:val="Listenabsatz"/>
              <w:spacing w:line="276" w:lineRule="auto"/>
            </w:pPr>
            <w:r w:rsidRPr="00437F3E">
              <w:rPr>
                <w:rFonts w:eastAsia="Symbol" w:cs="Symbol"/>
              </w:rPr>
              <w:t>Abwarten Erhalt der Zugangsdaten</w:t>
            </w:r>
          </w:p>
        </w:tc>
        <w:tc>
          <w:tcPr>
            <w:tcW w:w="0" w:type="auto"/>
            <w:tcBorders>
              <w:top w:val="nil"/>
              <w:left w:val="nil"/>
              <w:bottom w:val="single" w:sz="4" w:space="0" w:color="FFFFFF"/>
              <w:right w:val="single" w:sz="4" w:space="0" w:color="FFFFFF"/>
            </w:tcBorders>
            <w:shd w:val="clear" w:color="000000" w:fill="BDD1E7"/>
            <w:noWrap/>
            <w:vAlign w:val="center"/>
            <w:hideMark/>
          </w:tcPr>
          <w:p w14:paraId="7CD5B94A" w14:textId="77777777" w:rsidR="002E6BE7" w:rsidRPr="00437F3E" w:rsidRDefault="002E6BE7" w:rsidP="00616E88">
            <w:pPr>
              <w:pStyle w:val="Listenabsatz"/>
              <w:spacing w:line="276" w:lineRule="auto"/>
            </w:pPr>
            <w:r w:rsidRPr="00437F3E">
              <w:t>3-5</w:t>
            </w:r>
          </w:p>
        </w:tc>
      </w:tr>
      <w:tr w:rsidR="002E6BE7" w:rsidRPr="00437F3E" w14:paraId="1FCCC83A" w14:textId="77777777" w:rsidTr="00616E88">
        <w:trPr>
          <w:trHeight w:val="255"/>
        </w:trPr>
        <w:tc>
          <w:tcPr>
            <w:tcW w:w="0" w:type="auto"/>
            <w:tcBorders>
              <w:top w:val="nil"/>
              <w:left w:val="single" w:sz="4" w:space="0" w:color="FFFFFF"/>
              <w:bottom w:val="single" w:sz="4" w:space="0" w:color="FFFFFF"/>
              <w:right w:val="single" w:sz="4" w:space="0" w:color="FFFFFF"/>
            </w:tcBorders>
            <w:shd w:val="clear" w:color="000000" w:fill="DAE6F2"/>
            <w:vAlign w:val="center"/>
            <w:hideMark/>
          </w:tcPr>
          <w:p w14:paraId="5BD9EB83" w14:textId="77777777" w:rsidR="002E6BE7" w:rsidRPr="00437F3E" w:rsidRDefault="002E6BE7" w:rsidP="00616E88">
            <w:pPr>
              <w:pStyle w:val="Listenabsatz"/>
              <w:spacing w:line="276" w:lineRule="auto"/>
            </w:pPr>
            <w:r w:rsidRPr="00437F3E">
              <w:t>Administration der HKNs</w:t>
            </w:r>
          </w:p>
        </w:tc>
        <w:tc>
          <w:tcPr>
            <w:tcW w:w="0" w:type="auto"/>
            <w:tcBorders>
              <w:top w:val="nil"/>
              <w:left w:val="nil"/>
              <w:bottom w:val="single" w:sz="4" w:space="0" w:color="FFFFFF"/>
              <w:right w:val="single" w:sz="4" w:space="0" w:color="FFFFFF"/>
            </w:tcBorders>
            <w:shd w:val="clear" w:color="000000" w:fill="DAE6F2"/>
            <w:noWrap/>
            <w:vAlign w:val="center"/>
            <w:hideMark/>
          </w:tcPr>
          <w:p w14:paraId="522CE7FD" w14:textId="77777777" w:rsidR="002E6BE7" w:rsidRPr="00437F3E" w:rsidRDefault="002E6BE7" w:rsidP="00616E88">
            <w:pPr>
              <w:pStyle w:val="Listenabsatz"/>
              <w:spacing w:line="276" w:lineRule="auto"/>
            </w:pPr>
            <w:r>
              <w:t>...</w:t>
            </w:r>
          </w:p>
        </w:tc>
      </w:tr>
      <w:tr w:rsidR="002E6BE7" w:rsidRPr="00437F3E" w14:paraId="474D2A4A" w14:textId="77777777" w:rsidTr="00616E88">
        <w:trPr>
          <w:trHeight w:val="255"/>
        </w:trPr>
        <w:tc>
          <w:tcPr>
            <w:tcW w:w="0" w:type="auto"/>
            <w:tcBorders>
              <w:top w:val="nil"/>
              <w:left w:val="single" w:sz="4" w:space="0" w:color="FFFFFF"/>
              <w:bottom w:val="nil"/>
              <w:right w:val="single" w:sz="4" w:space="0" w:color="FFFFFF"/>
            </w:tcBorders>
            <w:shd w:val="clear" w:color="000000" w:fill="BDD1E7"/>
            <w:vAlign w:val="center"/>
            <w:hideMark/>
          </w:tcPr>
          <w:p w14:paraId="0E2A2174" w14:textId="77777777" w:rsidR="002E6BE7" w:rsidRPr="00437F3E" w:rsidRDefault="002E6BE7" w:rsidP="00616E88">
            <w:pPr>
              <w:pStyle w:val="Listenabsatz"/>
              <w:spacing w:line="276" w:lineRule="auto"/>
              <w:ind w:left="0"/>
            </w:pPr>
            <w:r w:rsidRPr="00C03CDD">
              <w:rPr>
                <w:rFonts w:cstheme="minorHAnsi"/>
                <w:b/>
              </w:rPr>
              <w:t>Durchschnitt Gesamtzeit</w:t>
            </w:r>
            <w:r w:rsidRPr="00533011">
              <w:rPr>
                <w:rFonts w:cstheme="minorHAnsi"/>
              </w:rPr>
              <w:t xml:space="preserve"> </w:t>
            </w:r>
            <w:r w:rsidRPr="003F3F01">
              <w:rPr>
                <w:rFonts w:cstheme="minorHAnsi"/>
              </w:rPr>
              <w:t>(ev. kürzer als Summe AT da Prozesse parallel)</w:t>
            </w:r>
          </w:p>
        </w:tc>
        <w:tc>
          <w:tcPr>
            <w:tcW w:w="0" w:type="auto"/>
            <w:tcBorders>
              <w:top w:val="nil"/>
              <w:left w:val="nil"/>
              <w:bottom w:val="nil"/>
              <w:right w:val="single" w:sz="4" w:space="0" w:color="FFFFFF"/>
            </w:tcBorders>
            <w:shd w:val="clear" w:color="000000" w:fill="BDD1E7"/>
            <w:noWrap/>
            <w:vAlign w:val="center"/>
            <w:hideMark/>
          </w:tcPr>
          <w:p w14:paraId="01522474" w14:textId="77777777" w:rsidR="002E6BE7" w:rsidRPr="00437F3E" w:rsidRDefault="002E6BE7" w:rsidP="00616E88">
            <w:pPr>
              <w:pStyle w:val="Listenabsatz"/>
              <w:spacing w:line="276" w:lineRule="auto"/>
            </w:pPr>
            <w:r w:rsidRPr="00437F3E">
              <w:t>…</w:t>
            </w:r>
          </w:p>
        </w:tc>
      </w:tr>
      <w:tr w:rsidR="002E6BE7" w:rsidRPr="00814E99" w14:paraId="57D319CC" w14:textId="77777777" w:rsidTr="00616E88">
        <w:trPr>
          <w:trHeight w:val="510"/>
        </w:trPr>
        <w:tc>
          <w:tcPr>
            <w:tcW w:w="0" w:type="auto"/>
            <w:tcBorders>
              <w:top w:val="single" w:sz="4" w:space="0" w:color="FFFFFF"/>
              <w:left w:val="single" w:sz="4" w:space="0" w:color="FFFFFF"/>
              <w:bottom w:val="single" w:sz="4" w:space="0" w:color="FFFFFF"/>
              <w:right w:val="single" w:sz="4" w:space="0" w:color="FFFFFF"/>
            </w:tcBorders>
            <w:shd w:val="clear" w:color="000000" w:fill="FFFFFF"/>
            <w:vAlign w:val="center"/>
            <w:hideMark/>
          </w:tcPr>
          <w:p w14:paraId="765C42E8" w14:textId="77777777" w:rsidR="002E6BE7" w:rsidRPr="00814E99" w:rsidRDefault="002E6BE7" w:rsidP="00616E88">
            <w:pPr>
              <w:pStyle w:val="Listenabsatz"/>
              <w:spacing w:line="276" w:lineRule="auto"/>
              <w:ind w:left="0"/>
              <w:rPr>
                <w:sz w:val="16"/>
                <w:szCs w:val="16"/>
              </w:rPr>
            </w:pPr>
            <w:r w:rsidRPr="00814E99">
              <w:rPr>
                <w:sz w:val="16"/>
                <w:szCs w:val="16"/>
              </w:rPr>
              <w:t>*</w:t>
            </w:r>
            <w:r>
              <w:rPr>
                <w:rFonts w:cs="Arial"/>
                <w:sz w:val="16"/>
                <w:szCs w:val="16"/>
              </w:rPr>
              <w:t xml:space="preserve"> AT= Arbeitstage sind </w:t>
            </w:r>
            <w:r w:rsidRPr="00EF4434">
              <w:rPr>
                <w:rFonts w:cs="Arial"/>
                <w:sz w:val="16"/>
                <w:szCs w:val="16"/>
              </w:rPr>
              <w:t>Erfahrungswerte als Orientierungshilfe</w:t>
            </w:r>
          </w:p>
        </w:tc>
        <w:tc>
          <w:tcPr>
            <w:tcW w:w="0" w:type="auto"/>
            <w:tcBorders>
              <w:top w:val="single" w:sz="4" w:space="0" w:color="FFFFFF"/>
              <w:left w:val="nil"/>
              <w:bottom w:val="single" w:sz="4" w:space="0" w:color="FFFFFF"/>
              <w:right w:val="single" w:sz="4" w:space="0" w:color="FFFFFF"/>
            </w:tcBorders>
            <w:shd w:val="clear" w:color="000000" w:fill="FFFFFF"/>
            <w:noWrap/>
            <w:vAlign w:val="center"/>
            <w:hideMark/>
          </w:tcPr>
          <w:p w14:paraId="4C7FA468" w14:textId="77777777" w:rsidR="002E6BE7" w:rsidRPr="00814E99" w:rsidRDefault="002E6BE7" w:rsidP="00616E88">
            <w:pPr>
              <w:pStyle w:val="Listenabsatz"/>
              <w:spacing w:line="276" w:lineRule="auto"/>
              <w:rPr>
                <w:sz w:val="16"/>
                <w:szCs w:val="16"/>
              </w:rPr>
            </w:pPr>
            <w:r w:rsidRPr="00814E99">
              <w:rPr>
                <w:sz w:val="16"/>
                <w:szCs w:val="16"/>
              </w:rPr>
              <w:t> </w:t>
            </w:r>
          </w:p>
        </w:tc>
      </w:tr>
    </w:tbl>
    <w:p w14:paraId="58919627" w14:textId="77777777" w:rsidR="002E6BE7" w:rsidRDefault="002E6BE7" w:rsidP="002E6BE7"/>
    <w:p w14:paraId="643A3759" w14:textId="77777777" w:rsidR="0000091E" w:rsidRDefault="0000091E" w:rsidP="005323A3">
      <w:pPr>
        <w:pStyle w:val="berschrift2"/>
        <w:keepNext/>
        <w:keepLines/>
        <w:widowControl/>
        <w:numPr>
          <w:ilvl w:val="0"/>
          <w:numId w:val="3"/>
        </w:numPr>
        <w:overflowPunct/>
        <w:autoSpaceDE/>
        <w:autoSpaceDN/>
        <w:adjustRightInd/>
        <w:spacing w:before="200" w:after="0" w:line="480" w:lineRule="auto"/>
        <w:jc w:val="left"/>
        <w:textAlignment w:val="auto"/>
      </w:pPr>
      <w:bookmarkStart w:id="32" w:name="_Toc419284217"/>
      <w:bookmarkStart w:id="33" w:name="_Toc353353907"/>
      <w:bookmarkStart w:id="34" w:name="_Ref375217559"/>
      <w:bookmarkStart w:id="35" w:name="_Ref375217572"/>
      <w:bookmarkStart w:id="36" w:name="_Ref375217593"/>
      <w:bookmarkStart w:id="37" w:name="_Toc379201261"/>
      <w:bookmarkStart w:id="38" w:name="_Toc31376449"/>
      <w:bookmarkEnd w:id="32"/>
      <w:r>
        <w:t>Tarifkalkulator</w:t>
      </w:r>
      <w:bookmarkEnd w:id="33"/>
      <w:r w:rsidR="005B3AC8">
        <w:t>en</w:t>
      </w:r>
      <w:r>
        <w:t xml:space="preserve"> – Registrierung</w:t>
      </w:r>
      <w:bookmarkEnd w:id="34"/>
      <w:bookmarkEnd w:id="35"/>
      <w:bookmarkEnd w:id="36"/>
      <w:bookmarkEnd w:id="37"/>
      <w:bookmarkEnd w:id="38"/>
    </w:p>
    <w:p w14:paraId="286A41BA" w14:textId="77777777" w:rsidR="0000091E" w:rsidRPr="00A04EB4" w:rsidRDefault="0000091E" w:rsidP="0059388E">
      <w:pPr>
        <w:keepNext/>
        <w:rPr>
          <w:b/>
        </w:rPr>
      </w:pPr>
      <w:r w:rsidRPr="00A04EB4">
        <w:rPr>
          <w:b/>
        </w:rPr>
        <w:t>Rechtliche Grundlage</w:t>
      </w:r>
    </w:p>
    <w:p w14:paraId="0F6841BB" w14:textId="77777777" w:rsidR="0000091E" w:rsidRDefault="00F26E1C" w:rsidP="0059388E">
      <w:pPr>
        <w:keepNext/>
      </w:pPr>
      <w:hyperlink r:id="rId77" w:history="1">
        <w:r w:rsidR="0000091E" w:rsidRPr="00C46FB6">
          <w:rPr>
            <w:rStyle w:val="Hyperlink"/>
          </w:rPr>
          <w:t xml:space="preserve">§ 65 Abs. 2 </w:t>
        </w:r>
        <w:proofErr w:type="spellStart"/>
        <w:r w:rsidR="0000091E" w:rsidRPr="00C46FB6">
          <w:rPr>
            <w:rStyle w:val="Hyperlink"/>
          </w:rPr>
          <w:t>ElWOG</w:t>
        </w:r>
        <w:proofErr w:type="spellEnd"/>
        <w:r w:rsidR="0000091E" w:rsidRPr="00C46FB6">
          <w:rPr>
            <w:rStyle w:val="Hyperlink"/>
          </w:rPr>
          <w:t xml:space="preserve"> 2010</w:t>
        </w:r>
      </w:hyperlink>
    </w:p>
    <w:p w14:paraId="2DAE6F83" w14:textId="77777777" w:rsidR="006072F4" w:rsidRDefault="006072F4" w:rsidP="0059388E">
      <w:pPr>
        <w:keepNext/>
        <w:rPr>
          <w:b/>
        </w:rPr>
      </w:pPr>
    </w:p>
    <w:p w14:paraId="17F8C07F" w14:textId="77777777" w:rsidR="0000091E" w:rsidRPr="00A04EB4" w:rsidRDefault="0000091E" w:rsidP="0059388E">
      <w:pPr>
        <w:keepNext/>
        <w:rPr>
          <w:b/>
        </w:rPr>
      </w:pPr>
      <w:r w:rsidRPr="00A04EB4">
        <w:rPr>
          <w:b/>
        </w:rPr>
        <w:t>Kurzbeschreibung</w:t>
      </w:r>
    </w:p>
    <w:p w14:paraId="3CFD7BB0" w14:textId="29C3FD12" w:rsidR="000A4420" w:rsidRDefault="0000091E" w:rsidP="0059388E">
      <w:pPr>
        <w:keepNext/>
      </w:pPr>
      <w:r>
        <w:t xml:space="preserve">Der Tarifkalkulator für Haushalte ist </w:t>
      </w:r>
      <w:r w:rsidR="00381B4C">
        <w:t xml:space="preserve">eine der </w:t>
      </w:r>
      <w:r w:rsidR="003E7FBD">
        <w:t>meistgenutzten</w:t>
      </w:r>
      <w:r w:rsidR="00381B4C">
        <w:t xml:space="preserve"> Preisvergleichsplattformen für Strom und Gas</w:t>
      </w:r>
      <w:r>
        <w:t xml:space="preserve"> in Österreich. Der Tarifkalkulator und der Tarifkalkulator-Gewerbe sind Online-</w:t>
      </w:r>
      <w:r w:rsidR="00381B4C">
        <w:t xml:space="preserve">Tools </w:t>
      </w:r>
      <w:r w:rsidR="00697994">
        <w:t xml:space="preserve">und </w:t>
      </w:r>
      <w:r>
        <w:t>relevant für Kunden mit einem Jahresverbrauch bis zu 100.000 kWh Strom</w:t>
      </w:r>
      <w:r w:rsidR="00393701">
        <w:t xml:space="preserve">. </w:t>
      </w:r>
      <w:r>
        <w:t xml:space="preserve">Für eine Abfrage </w:t>
      </w:r>
      <w:r>
        <w:lastRenderedPageBreak/>
        <w:t>muss der Nutzer lediglich den Strom-Jahresverbrauch in kWh</w:t>
      </w:r>
      <w:r w:rsidR="00697994">
        <w:t xml:space="preserve"> </w:t>
      </w:r>
      <w:proofErr w:type="spellStart"/>
      <w:r w:rsidR="00697994">
        <w:t>bzw</w:t>
      </w:r>
      <w:proofErr w:type="spellEnd"/>
      <w:r w:rsidR="00697994">
        <w:t xml:space="preserve"> die Haushaltsgröße</w:t>
      </w:r>
      <w:r>
        <w:t xml:space="preserve"> sowie die Postleitzahl eingeben.</w:t>
      </w:r>
    </w:p>
    <w:p w14:paraId="637EE793" w14:textId="77777777" w:rsidR="000A4420" w:rsidRDefault="000A4420" w:rsidP="0000091E"/>
    <w:p w14:paraId="1686EE09" w14:textId="77777777" w:rsidR="004461DE" w:rsidRDefault="009E3C3D" w:rsidP="0000091E">
      <w:r w:rsidRPr="009E3C3D">
        <w:t xml:space="preserve">Stromlieferanten sind gemäß § 65 Abs. 2 </w:t>
      </w:r>
      <w:proofErr w:type="spellStart"/>
      <w:r w:rsidRPr="009E3C3D">
        <w:t>ElWOG</w:t>
      </w:r>
      <w:proofErr w:type="spellEnd"/>
      <w:r w:rsidRPr="009E3C3D">
        <w:t xml:space="preserve"> 2010 </w:t>
      </w:r>
      <w:r>
        <w:t>v</w:t>
      </w:r>
      <w:r w:rsidRPr="009E3C3D">
        <w:t xml:space="preserve">erpflichtet, </w:t>
      </w:r>
      <w:bookmarkStart w:id="39" w:name="_Hlk499726422"/>
      <w:r w:rsidRPr="009E3C3D">
        <w:t>sämtliche preisrelevanten Daten für mit Standardprodukten versorgte Endverbraucher unverzüglich nach ihrer Verfügbarkeit der Regulierungsbehörde in einer von dieser vorgegebenen elektronischen Form für die Eingabe in den Tarifkalkulator zu übermitteln.</w:t>
      </w:r>
      <w:r>
        <w:t xml:space="preserve"> </w:t>
      </w:r>
      <w:bookmarkEnd w:id="39"/>
      <w:r w:rsidRPr="009E3C3D">
        <w:t>Als Standardprodukte gelten insbes</w:t>
      </w:r>
      <w:r w:rsidR="00F73D7E">
        <w:t>ondere</w:t>
      </w:r>
      <w:r w:rsidRPr="009E3C3D">
        <w:t xml:space="preserve"> jene Produkte, die anhand allgemeiner Vertragsbestimmungen, Vertragsformblätter, Preisgestaltung </w:t>
      </w:r>
      <w:proofErr w:type="spellStart"/>
      <w:r w:rsidRPr="009E3C3D">
        <w:t>udgl</w:t>
      </w:r>
      <w:proofErr w:type="spellEnd"/>
      <w:r w:rsidRPr="009E3C3D">
        <w:t xml:space="preserve">. an einen unbestimmten Personenkreis gerichtet sind. Die elektronische Form hierfür ist die Eingabe in der dafür entwickelten Applikation TK-Admin. </w:t>
      </w:r>
    </w:p>
    <w:p w14:paraId="51669DDE" w14:textId="77777777" w:rsidR="00A33FD4" w:rsidRDefault="00A33FD4" w:rsidP="004461DE"/>
    <w:p w14:paraId="68C33C3E" w14:textId="77777777" w:rsidR="004461DE" w:rsidRPr="000D255B" w:rsidRDefault="004461DE" w:rsidP="004461DE">
      <w:r w:rsidRPr="000D255B">
        <w:t>Die Voraussetzung</w:t>
      </w:r>
      <w:r>
        <w:t>en</w:t>
      </w:r>
      <w:r w:rsidRPr="000D255B">
        <w:t xml:space="preserve"> für die Registrierung im Tarifkalkulator sind: </w:t>
      </w:r>
    </w:p>
    <w:p w14:paraId="24EAF443" w14:textId="77777777" w:rsidR="004461DE" w:rsidRPr="000D255B" w:rsidRDefault="004461DE" w:rsidP="004461DE">
      <w:r w:rsidRPr="000D255B">
        <w:t>- eine bei der A</w:t>
      </w:r>
      <w:r>
        <w:t>P</w:t>
      </w:r>
      <w:r w:rsidRPr="000D255B">
        <w:t xml:space="preserve">CS eigenständige Registrierung (EC- Nummer)   </w:t>
      </w:r>
    </w:p>
    <w:p w14:paraId="64A96ABB" w14:textId="77777777" w:rsidR="004461DE" w:rsidRDefault="004461DE" w:rsidP="004461DE">
      <w:r>
        <w:t xml:space="preserve">- </w:t>
      </w:r>
      <w:r w:rsidRPr="004461DE">
        <w:t>Registrierung bei der Stromnachweisedatenbank</w:t>
      </w:r>
      <w:r w:rsidR="00A33FD4">
        <w:t xml:space="preserve"> (E-Control)</w:t>
      </w:r>
    </w:p>
    <w:p w14:paraId="52707135" w14:textId="0F01C8C3" w:rsidR="004461DE" w:rsidRPr="000D255B" w:rsidRDefault="004461DE" w:rsidP="004461DE">
      <w:r w:rsidRPr="000D255B">
        <w:t xml:space="preserve">- vorhandene Kommunikationswege mit den Kunden (Telefon, E-Mail Adresse, Adresse, </w:t>
      </w:r>
      <w:r w:rsidR="003A4DE4">
        <w:t>Webseite</w:t>
      </w:r>
      <w:r w:rsidRPr="000D255B">
        <w:t xml:space="preserve">, Onlinewechsellink </w:t>
      </w:r>
      <w:proofErr w:type="spellStart"/>
      <w:r w:rsidRPr="000D255B">
        <w:t>udgl</w:t>
      </w:r>
      <w:proofErr w:type="spellEnd"/>
      <w:r w:rsidRPr="000D255B">
        <w:t xml:space="preserve">.)   </w:t>
      </w:r>
    </w:p>
    <w:p w14:paraId="3EB3DFF6" w14:textId="77777777" w:rsidR="004461DE" w:rsidRPr="00EB0492" w:rsidRDefault="004461DE" w:rsidP="004461DE">
      <w:r w:rsidRPr="000D255B">
        <w:t>- vorhandene Allgemeine Lieferbedingungen, die von der Regulierungskommission nicht untersagt worden sind (</w:t>
      </w:r>
      <w:proofErr w:type="spellStart"/>
      <w:r w:rsidRPr="000D255B">
        <w:t>vgl</w:t>
      </w:r>
      <w:proofErr w:type="spellEnd"/>
      <w:r w:rsidRPr="000D255B">
        <w:t xml:space="preserve"> </w:t>
      </w:r>
      <w:hyperlink w:anchor="_Allgemeine_Lieferbedingungen" w:history="1">
        <w:r w:rsidRPr="00955CF5">
          <w:rPr>
            <w:rStyle w:val="Hyperlink"/>
            <w:color w:val="auto"/>
            <w:u w:val="none"/>
          </w:rPr>
          <w:t>Punkt</w:t>
        </w:r>
        <w:r w:rsidR="004A3F2C">
          <w:rPr>
            <w:rStyle w:val="Hyperlink"/>
            <w:color w:val="auto"/>
            <w:u w:val="none"/>
          </w:rPr>
          <w:t xml:space="preserve"> E</w:t>
        </w:r>
      </w:hyperlink>
      <w:r w:rsidRPr="000D255B">
        <w:t xml:space="preserve">) </w:t>
      </w:r>
    </w:p>
    <w:p w14:paraId="15A3B4D0" w14:textId="77777777" w:rsidR="006072F4" w:rsidRDefault="006072F4" w:rsidP="0000091E">
      <w:pPr>
        <w:rPr>
          <w:b/>
        </w:rPr>
      </w:pPr>
    </w:p>
    <w:p w14:paraId="445C5E3D" w14:textId="77777777" w:rsidR="0000091E" w:rsidRPr="00567F5E" w:rsidRDefault="0000091E" w:rsidP="0000091E">
      <w:pPr>
        <w:rPr>
          <w:b/>
        </w:rPr>
      </w:pPr>
      <w:r w:rsidRPr="00567F5E">
        <w:rPr>
          <w:b/>
        </w:rPr>
        <w:t xml:space="preserve">Handlungsanweisung </w:t>
      </w:r>
    </w:p>
    <w:p w14:paraId="2698195C" w14:textId="77777777" w:rsidR="0000091E" w:rsidRDefault="0000091E" w:rsidP="0000091E">
      <w:bookmarkStart w:id="40" w:name="_Hlk499732651"/>
      <w:r>
        <w:t xml:space="preserve">Der Ablauf der Registrierung im Tarifkalkulator stellt sich folgendermaßen dar: </w:t>
      </w:r>
    </w:p>
    <w:p w14:paraId="3411B80A" w14:textId="77777777" w:rsidR="00B81C4F" w:rsidRDefault="00B81C4F" w:rsidP="008D2670">
      <w:pPr>
        <w:pStyle w:val="Listenabsatz"/>
        <w:numPr>
          <w:ilvl w:val="0"/>
          <w:numId w:val="26"/>
        </w:numPr>
      </w:pPr>
      <w:r>
        <w:t xml:space="preserve">Registrierung der für die Administration berechtigten Benutzer auf dem Service-Portal der E-Control unter </w:t>
      </w:r>
      <w:hyperlink r:id="rId78" w:history="1">
        <w:r w:rsidRPr="00CA3D5D">
          <w:rPr>
            <w:rStyle w:val="Hyperlink"/>
          </w:rPr>
          <w:t>www.e-control.at/services</w:t>
        </w:r>
      </w:hyperlink>
    </w:p>
    <w:p w14:paraId="26CE1467" w14:textId="77777777" w:rsidR="004461DE" w:rsidRDefault="004461DE" w:rsidP="008D2670">
      <w:pPr>
        <w:pStyle w:val="Listenabsatz"/>
        <w:numPr>
          <w:ilvl w:val="0"/>
          <w:numId w:val="26"/>
        </w:numPr>
      </w:pPr>
      <w:r w:rsidRPr="004461DE">
        <w:t>Schriftliche Information über die Erfüllung der Registrierungsvoraussetzungen</w:t>
      </w:r>
      <w:r w:rsidR="003F3DEF">
        <w:t xml:space="preserve"> sowie Namen</w:t>
      </w:r>
      <w:r w:rsidR="009E3C3D">
        <w:t xml:space="preserve">, </w:t>
      </w:r>
      <w:r w:rsidR="00BB3993">
        <w:t>E-Mail-Adressen</w:t>
      </w:r>
      <w:r w:rsidR="00D7159F">
        <w:t xml:space="preserve">, </w:t>
      </w:r>
      <w:r w:rsidR="009E3C3D">
        <w:t xml:space="preserve">Telefonnummern </w:t>
      </w:r>
      <w:r w:rsidR="00D7159F">
        <w:t>und Firmennamen</w:t>
      </w:r>
      <w:r w:rsidR="003F3DEF">
        <w:t xml:space="preserve"> der </w:t>
      </w:r>
      <w:r w:rsidR="00B81C4F" w:rsidRPr="00B81C4F">
        <w:t>für die Administration berechtig</w:t>
      </w:r>
      <w:r w:rsidR="00B81C4F">
        <w:t>t</w:t>
      </w:r>
      <w:r w:rsidR="00B81C4F" w:rsidRPr="00B81C4F">
        <w:t>en Benutzer</w:t>
      </w:r>
      <w:r w:rsidR="00B81C4F" w:rsidRPr="00B81C4F" w:rsidDel="00B81C4F">
        <w:t xml:space="preserve"> </w:t>
      </w:r>
      <w:r w:rsidR="00185D6B">
        <w:t>an</w:t>
      </w:r>
      <w:r w:rsidR="00185D6B" w:rsidRPr="004461DE">
        <w:t xml:space="preserve"> </w:t>
      </w:r>
      <w:r w:rsidRPr="004461DE">
        <w:t xml:space="preserve">die folgende E-Mail Adresse verschicken: </w:t>
      </w:r>
      <w:hyperlink r:id="rId79" w:history="1">
        <w:r w:rsidRPr="00272ECF">
          <w:rPr>
            <w:rStyle w:val="Hyperlink"/>
          </w:rPr>
          <w:t>tarifkalkulator@e-control.at</w:t>
        </w:r>
      </w:hyperlink>
      <w:r w:rsidR="00D7159F">
        <w:rPr>
          <w:rStyle w:val="Hyperlink"/>
          <w:rFonts w:eastAsia="Times New Roman" w:cs="Arial"/>
          <w:szCs w:val="24"/>
          <w:lang w:val="de-AT" w:eastAsia="de-DE"/>
        </w:rPr>
        <w:t>.</w:t>
      </w:r>
      <w:r w:rsidR="003F3DEF">
        <w:t xml:space="preserve"> </w:t>
      </w:r>
    </w:p>
    <w:p w14:paraId="4AF172CF" w14:textId="77777777" w:rsidR="00B81C4F" w:rsidRDefault="0000091E" w:rsidP="008D2670">
      <w:pPr>
        <w:pStyle w:val="Listenabsatz"/>
        <w:numPr>
          <w:ilvl w:val="0"/>
          <w:numId w:val="26"/>
        </w:numPr>
        <w:spacing w:after="0"/>
      </w:pPr>
      <w:r>
        <w:t xml:space="preserve">Bei </w:t>
      </w:r>
      <w:r w:rsidR="00BF34A8">
        <w:t xml:space="preserve">Erfüllung der Voraussetzungen </w:t>
      </w:r>
      <w:r w:rsidR="00B81C4F">
        <w:t xml:space="preserve">wird Ihr Lieferant </w:t>
      </w:r>
      <w:r w:rsidR="009E3C3D">
        <w:t>im Tarifkalkulator</w:t>
      </w:r>
      <w:r w:rsidR="00B81C4F">
        <w:t xml:space="preserve"> registriert und die berechtigten Benutzer</w:t>
      </w:r>
      <w:r w:rsidR="009E3C3D">
        <w:t xml:space="preserve"> für d</w:t>
      </w:r>
      <w:r w:rsidR="00A5411D">
        <w:t>ie</w:t>
      </w:r>
      <w:r w:rsidR="009E3C3D">
        <w:t xml:space="preserve"> TK-Admin </w:t>
      </w:r>
      <w:r w:rsidR="00B81C4F">
        <w:t>freigeschalte</w:t>
      </w:r>
      <w:r w:rsidR="00F73D7E">
        <w:t>n</w:t>
      </w:r>
      <w:r w:rsidR="00B81C4F">
        <w:t xml:space="preserve">. Dies erfolgt </w:t>
      </w:r>
      <w:r w:rsidR="00682F4B">
        <w:t>innerhalb von 5 Werktagen</w:t>
      </w:r>
      <w:r w:rsidR="00B81C4F">
        <w:t>.</w:t>
      </w:r>
      <w:r>
        <w:t xml:space="preserve"> </w:t>
      </w:r>
    </w:p>
    <w:p w14:paraId="2BCE3C4D" w14:textId="77777777" w:rsidR="00D7159F" w:rsidRDefault="00B81C4F" w:rsidP="008D2670">
      <w:pPr>
        <w:pStyle w:val="Listenabsatz"/>
        <w:numPr>
          <w:ilvl w:val="0"/>
          <w:numId w:val="26"/>
        </w:numPr>
        <w:spacing w:after="0"/>
      </w:pPr>
      <w:r>
        <w:t xml:space="preserve">Die folgenden Unterlagen, die für die </w:t>
      </w:r>
      <w:r w:rsidR="009E3C3D">
        <w:t xml:space="preserve">richtige </w:t>
      </w:r>
      <w:r>
        <w:t xml:space="preserve">Administration Ihrer Daten </w:t>
      </w:r>
      <w:r w:rsidR="00A5411D">
        <w:t>in der</w:t>
      </w:r>
      <w:r>
        <w:t xml:space="preserve"> TK-Admin maßgeblich sind, sind auf E-Control Webseite unter </w:t>
      </w:r>
      <w:hyperlink r:id="rId80" w:history="1">
        <w:r w:rsidRPr="00CA3D5D">
          <w:rPr>
            <w:rStyle w:val="Hyperlink"/>
          </w:rPr>
          <w:t>https://www.e-control.at/marktteilnehmer/infos/tarifkalkulator</w:t>
        </w:r>
      </w:hyperlink>
      <w:r w:rsidRPr="00B81C4F">
        <w:t xml:space="preserve"> </w:t>
      </w:r>
      <w:r>
        <w:t xml:space="preserve">zu finden. </w:t>
      </w:r>
    </w:p>
    <w:p w14:paraId="21EC2C4B" w14:textId="77777777" w:rsidR="00D7159F" w:rsidRDefault="00B81C4F" w:rsidP="008D2670">
      <w:pPr>
        <w:pStyle w:val="Listenabsatz"/>
        <w:spacing w:after="0"/>
      </w:pPr>
      <w:r>
        <w:t xml:space="preserve">Diese umfassen: </w:t>
      </w:r>
    </w:p>
    <w:p w14:paraId="7C6BF64F" w14:textId="77777777" w:rsidR="00D7159F" w:rsidRDefault="00D7159F" w:rsidP="00D7159F">
      <w:pPr>
        <w:pStyle w:val="Listenabsatz"/>
        <w:numPr>
          <w:ilvl w:val="0"/>
          <w:numId w:val="27"/>
        </w:numPr>
      </w:pPr>
      <w:r>
        <w:t>Tarifkalkulator Richtlinien für Stromlieferanten und Gasversorger</w:t>
      </w:r>
    </w:p>
    <w:p w14:paraId="54D53653" w14:textId="77777777" w:rsidR="0000091E" w:rsidRDefault="00B81C4F" w:rsidP="008D2670">
      <w:pPr>
        <w:pStyle w:val="Listenabsatz"/>
        <w:numPr>
          <w:ilvl w:val="0"/>
          <w:numId w:val="27"/>
        </w:numPr>
      </w:pPr>
      <w:r>
        <w:t xml:space="preserve">Bedienungsanleitung Tarifkalkulator – Administration für Lieferanten </w:t>
      </w:r>
    </w:p>
    <w:p w14:paraId="1291F149" w14:textId="77777777" w:rsidR="00D7159F" w:rsidRDefault="009E3C3D" w:rsidP="008D2670">
      <w:pPr>
        <w:pStyle w:val="Listenabsatz"/>
        <w:numPr>
          <w:ilvl w:val="0"/>
          <w:numId w:val="26"/>
        </w:numPr>
        <w:spacing w:after="0"/>
      </w:pPr>
      <w:r>
        <w:t>D</w:t>
      </w:r>
      <w:r w:rsidR="00A5411D">
        <w:t>ie</w:t>
      </w:r>
      <w:r>
        <w:t xml:space="preserve"> </w:t>
      </w:r>
      <w:r w:rsidR="00D7159F">
        <w:t xml:space="preserve">TK-Admin ist über </w:t>
      </w:r>
      <w:r w:rsidR="00D7159F" w:rsidRPr="00D7159F">
        <w:t xml:space="preserve">das Service-Portal der E-Control </w:t>
      </w:r>
      <w:r w:rsidR="00D7159F">
        <w:t>erreichbar.</w:t>
      </w:r>
    </w:p>
    <w:p w14:paraId="03E23CEA" w14:textId="77777777" w:rsidR="0000091E" w:rsidRDefault="0000091E" w:rsidP="008D2670">
      <w:pPr>
        <w:pStyle w:val="Listenabsatz"/>
        <w:numPr>
          <w:ilvl w:val="0"/>
          <w:numId w:val="26"/>
        </w:numPr>
        <w:spacing w:after="0"/>
      </w:pPr>
      <w:r>
        <w:lastRenderedPageBreak/>
        <w:t xml:space="preserve">Optional: auf Anfrage ist eine individuelle Schulung für </w:t>
      </w:r>
      <w:r w:rsidR="002340E1">
        <w:t>d</w:t>
      </w:r>
      <w:r w:rsidR="00A5411D">
        <w:t>ie</w:t>
      </w:r>
      <w:r w:rsidR="009E3C3D">
        <w:t xml:space="preserve"> TK-Admin </w:t>
      </w:r>
      <w:r>
        <w:t>bei der E-Control möglich (Schulungsdauer 2 Stunden)</w:t>
      </w:r>
    </w:p>
    <w:bookmarkEnd w:id="40"/>
    <w:p w14:paraId="194783C0" w14:textId="77777777" w:rsidR="0000091E" w:rsidRDefault="0000091E" w:rsidP="0000091E"/>
    <w:p w14:paraId="67960CB4" w14:textId="2307AC90" w:rsidR="0000091E" w:rsidRDefault="0000091E" w:rsidP="0000091E">
      <w:r>
        <w:t xml:space="preserve">Kontakt: </w:t>
      </w:r>
      <w:hyperlink r:id="rId81" w:history="1">
        <w:r w:rsidRPr="00404DFC">
          <w:rPr>
            <w:rStyle w:val="Hyperlink"/>
          </w:rPr>
          <w:t>tarifkalkulator@e-control.at</w:t>
        </w:r>
      </w:hyperlink>
      <w:r>
        <w:t xml:space="preserve"> und unter: 01/24724 DW 701</w:t>
      </w:r>
      <w:r w:rsidR="00DB257C">
        <w:t>,</w:t>
      </w:r>
      <w:r>
        <w:t xml:space="preserve"> DW </w:t>
      </w:r>
      <w:r w:rsidR="00015491">
        <w:t>723</w:t>
      </w:r>
      <w:r w:rsidR="00DB257C">
        <w:t xml:space="preserve"> oder DW 724</w:t>
      </w:r>
    </w:p>
    <w:p w14:paraId="027238D3" w14:textId="77777777" w:rsidR="00F73D7E" w:rsidRDefault="00F73D7E" w:rsidP="0000091E"/>
    <w:p w14:paraId="72FAAB8D" w14:textId="77777777" w:rsidR="0000091E" w:rsidRDefault="0000091E" w:rsidP="0000091E">
      <w:r>
        <w:t xml:space="preserve">Weiterführende Informationen sind zu finden unter: </w:t>
      </w:r>
      <w:hyperlink r:id="rId82" w:history="1">
        <w:r w:rsidRPr="00404DFC">
          <w:rPr>
            <w:rStyle w:val="Hyperlink"/>
          </w:rPr>
          <w:t>http://www.e-control.at/de/marktteilnehmer/infos/tarifkalkulator</w:t>
        </w:r>
      </w:hyperlink>
    </w:p>
    <w:p w14:paraId="15942335" w14:textId="77777777" w:rsidR="0000091E" w:rsidRDefault="0000091E" w:rsidP="0000091E">
      <w:bookmarkStart w:id="41" w:name="_Hlk499732689"/>
    </w:p>
    <w:tbl>
      <w:tblPr>
        <w:tblW w:w="0" w:type="auto"/>
        <w:tblInd w:w="55" w:type="dxa"/>
        <w:tblCellMar>
          <w:left w:w="70" w:type="dxa"/>
          <w:right w:w="70" w:type="dxa"/>
        </w:tblCellMar>
        <w:tblLook w:val="04A0" w:firstRow="1" w:lastRow="0" w:firstColumn="1" w:lastColumn="0" w:noHBand="0" w:noVBand="1"/>
      </w:tblPr>
      <w:tblGrid>
        <w:gridCol w:w="7600"/>
        <w:gridCol w:w="1907"/>
      </w:tblGrid>
      <w:tr w:rsidR="00A33FD4" w:rsidRPr="0059388E" w14:paraId="026D733D" w14:textId="77777777" w:rsidTr="008D2670">
        <w:trPr>
          <w:trHeight w:val="255"/>
        </w:trPr>
        <w:tc>
          <w:tcPr>
            <w:tcW w:w="7600" w:type="dxa"/>
            <w:tcBorders>
              <w:top w:val="nil"/>
              <w:left w:val="nil"/>
              <w:bottom w:val="nil"/>
              <w:right w:val="nil"/>
            </w:tcBorders>
            <w:shd w:val="clear" w:color="000000" w:fill="95B3D7"/>
            <w:noWrap/>
            <w:vAlign w:val="center"/>
            <w:hideMark/>
          </w:tcPr>
          <w:p w14:paraId="6F1770B5" w14:textId="77777777" w:rsidR="0000091E" w:rsidRPr="0059388E" w:rsidRDefault="0000091E" w:rsidP="00E808A8">
            <w:pPr>
              <w:pStyle w:val="Listenabsatz"/>
              <w:spacing w:line="276" w:lineRule="auto"/>
              <w:ind w:left="0"/>
              <w:rPr>
                <w:b/>
              </w:rPr>
            </w:pPr>
            <w:r w:rsidRPr="0059388E">
              <w:rPr>
                <w:b/>
              </w:rPr>
              <w:t>Checkliste –</w:t>
            </w:r>
            <w:r w:rsidR="00C03CDD">
              <w:rPr>
                <w:b/>
              </w:rPr>
              <w:t xml:space="preserve"> </w:t>
            </w:r>
            <w:r w:rsidRPr="0059388E">
              <w:rPr>
                <w:b/>
              </w:rPr>
              <w:t>Tarifkalkulator Registrierung</w:t>
            </w:r>
          </w:p>
        </w:tc>
        <w:tc>
          <w:tcPr>
            <w:tcW w:w="1907" w:type="dxa"/>
            <w:tcBorders>
              <w:top w:val="nil"/>
              <w:left w:val="nil"/>
              <w:bottom w:val="nil"/>
              <w:right w:val="nil"/>
            </w:tcBorders>
            <w:shd w:val="clear" w:color="000000" w:fill="95B3D7"/>
            <w:noWrap/>
            <w:vAlign w:val="center"/>
            <w:hideMark/>
          </w:tcPr>
          <w:p w14:paraId="714BC264" w14:textId="77777777" w:rsidR="0000091E" w:rsidRPr="0059388E" w:rsidRDefault="0000091E" w:rsidP="00E808A8">
            <w:pPr>
              <w:pStyle w:val="Listenabsatz"/>
              <w:spacing w:line="276" w:lineRule="auto"/>
              <w:rPr>
                <w:b/>
              </w:rPr>
            </w:pPr>
            <w:r w:rsidRPr="0059388E">
              <w:rPr>
                <w:b/>
              </w:rPr>
              <w:t>AT *</w:t>
            </w:r>
          </w:p>
        </w:tc>
      </w:tr>
      <w:tr w:rsidR="00A33FD4" w:rsidRPr="00124A0B" w14:paraId="562B843A" w14:textId="77777777" w:rsidTr="008D2670">
        <w:trPr>
          <w:trHeight w:val="255"/>
        </w:trPr>
        <w:tc>
          <w:tcPr>
            <w:tcW w:w="7600" w:type="dxa"/>
            <w:tcBorders>
              <w:top w:val="single" w:sz="4" w:space="0" w:color="FFFFFF"/>
              <w:left w:val="single" w:sz="4" w:space="0" w:color="FFFFFF"/>
              <w:bottom w:val="single" w:sz="4" w:space="0" w:color="FFFFFF"/>
              <w:right w:val="single" w:sz="4" w:space="0" w:color="FFFFFF"/>
            </w:tcBorders>
            <w:shd w:val="clear" w:color="000000" w:fill="BDD1E7"/>
            <w:vAlign w:val="center"/>
          </w:tcPr>
          <w:p w14:paraId="3BEA96D8" w14:textId="77777777" w:rsidR="00A33FD4" w:rsidRPr="003863A1" w:rsidRDefault="009E3C3D" w:rsidP="00E808A8">
            <w:pPr>
              <w:pStyle w:val="Listenabsatz"/>
              <w:spacing w:line="276" w:lineRule="auto"/>
            </w:pPr>
            <w:r>
              <w:t xml:space="preserve">Benutzer </w:t>
            </w:r>
            <w:r w:rsidR="00A33FD4">
              <w:t xml:space="preserve">Registrierung </w:t>
            </w:r>
            <w:r>
              <w:t>a</w:t>
            </w:r>
            <w:r w:rsidR="00A33FD4">
              <w:t xml:space="preserve">m </w:t>
            </w:r>
            <w:r>
              <w:t xml:space="preserve">E-Control </w:t>
            </w:r>
            <w:r w:rsidR="00A33FD4">
              <w:t xml:space="preserve">Service-Portal </w:t>
            </w:r>
            <w:r>
              <w:t>durchführen</w:t>
            </w:r>
          </w:p>
        </w:tc>
        <w:tc>
          <w:tcPr>
            <w:tcW w:w="1907" w:type="dxa"/>
            <w:tcBorders>
              <w:top w:val="single" w:sz="4" w:space="0" w:color="FFFFFF"/>
              <w:left w:val="nil"/>
              <w:bottom w:val="single" w:sz="4" w:space="0" w:color="FFFFFF"/>
              <w:right w:val="single" w:sz="4" w:space="0" w:color="FFFFFF"/>
            </w:tcBorders>
            <w:shd w:val="clear" w:color="000000" w:fill="BDD1E7"/>
            <w:noWrap/>
            <w:vAlign w:val="center"/>
          </w:tcPr>
          <w:p w14:paraId="31A9B257" w14:textId="77777777" w:rsidR="00A33FD4" w:rsidRPr="00124A0B" w:rsidRDefault="00A33FD4" w:rsidP="00E808A8">
            <w:pPr>
              <w:pStyle w:val="Listenabsatz"/>
              <w:spacing w:line="276" w:lineRule="auto"/>
            </w:pPr>
          </w:p>
        </w:tc>
      </w:tr>
      <w:tr w:rsidR="00A33FD4" w:rsidRPr="00124A0B" w14:paraId="62D385E2" w14:textId="77777777" w:rsidTr="008D2670">
        <w:trPr>
          <w:trHeight w:val="255"/>
        </w:trPr>
        <w:tc>
          <w:tcPr>
            <w:tcW w:w="7600" w:type="dxa"/>
            <w:tcBorders>
              <w:top w:val="single" w:sz="4" w:space="0" w:color="FFFFFF"/>
              <w:left w:val="single" w:sz="4" w:space="0" w:color="FFFFFF"/>
              <w:bottom w:val="single" w:sz="4" w:space="0" w:color="FFFFFF"/>
              <w:right w:val="single" w:sz="4" w:space="0" w:color="FFFFFF"/>
            </w:tcBorders>
            <w:shd w:val="clear" w:color="000000" w:fill="BDD1E7"/>
            <w:vAlign w:val="center"/>
            <w:hideMark/>
          </w:tcPr>
          <w:p w14:paraId="5E7C8FFE" w14:textId="77777777" w:rsidR="00A33FD4" w:rsidRPr="00124A0B" w:rsidRDefault="003863A1" w:rsidP="00A33FD4">
            <w:pPr>
              <w:pStyle w:val="Listenabsatz"/>
              <w:spacing w:line="276" w:lineRule="auto"/>
            </w:pPr>
            <w:r w:rsidRPr="003863A1">
              <w:t xml:space="preserve">Schriftliche Information per E-Mail </w:t>
            </w:r>
            <w:r w:rsidR="00A33FD4">
              <w:t xml:space="preserve">an </w:t>
            </w:r>
            <w:hyperlink r:id="rId83" w:history="1">
              <w:r w:rsidR="00A33FD4" w:rsidRPr="00CA3D5D">
                <w:rPr>
                  <w:rStyle w:val="Hyperlink"/>
                </w:rPr>
                <w:t>tarifkalkulator@e-control.at</w:t>
              </w:r>
            </w:hyperlink>
          </w:p>
        </w:tc>
        <w:tc>
          <w:tcPr>
            <w:tcW w:w="1907" w:type="dxa"/>
            <w:tcBorders>
              <w:top w:val="single" w:sz="4" w:space="0" w:color="FFFFFF"/>
              <w:left w:val="nil"/>
              <w:bottom w:val="single" w:sz="4" w:space="0" w:color="FFFFFF"/>
              <w:right w:val="single" w:sz="4" w:space="0" w:color="FFFFFF"/>
            </w:tcBorders>
            <w:shd w:val="clear" w:color="000000" w:fill="BDD1E7"/>
            <w:noWrap/>
            <w:vAlign w:val="center"/>
            <w:hideMark/>
          </w:tcPr>
          <w:p w14:paraId="6BACE4D4" w14:textId="77777777" w:rsidR="0000091E" w:rsidRPr="00124A0B" w:rsidRDefault="0000091E" w:rsidP="00E808A8">
            <w:pPr>
              <w:pStyle w:val="Listenabsatz"/>
              <w:spacing w:line="276" w:lineRule="auto"/>
            </w:pPr>
            <w:r w:rsidRPr="00124A0B">
              <w:t>0,25</w:t>
            </w:r>
          </w:p>
        </w:tc>
      </w:tr>
      <w:tr w:rsidR="00A33FD4" w:rsidRPr="00124A0B" w14:paraId="18888F46" w14:textId="77777777" w:rsidTr="008D2670">
        <w:trPr>
          <w:trHeight w:val="255"/>
        </w:trPr>
        <w:tc>
          <w:tcPr>
            <w:tcW w:w="7600" w:type="dxa"/>
            <w:tcBorders>
              <w:top w:val="nil"/>
              <w:left w:val="single" w:sz="4" w:space="0" w:color="FFFFFF"/>
              <w:bottom w:val="single" w:sz="4" w:space="0" w:color="FFFFFF"/>
              <w:right w:val="single" w:sz="4" w:space="0" w:color="FFFFFF"/>
            </w:tcBorders>
            <w:shd w:val="clear" w:color="000000" w:fill="DAE6F2"/>
            <w:noWrap/>
            <w:vAlign w:val="center"/>
            <w:hideMark/>
          </w:tcPr>
          <w:p w14:paraId="67C42C74" w14:textId="77777777" w:rsidR="0000091E" w:rsidRPr="00023D9B" w:rsidRDefault="00A33FD4" w:rsidP="00E808A8">
            <w:pPr>
              <w:pStyle w:val="Listenabsatz"/>
              <w:spacing w:line="276" w:lineRule="auto"/>
            </w:pPr>
            <w:r w:rsidRPr="00744141">
              <w:t xml:space="preserve">Erstellung des Lieferantenkontos und Freigabe seitens E-Control </w:t>
            </w:r>
          </w:p>
        </w:tc>
        <w:tc>
          <w:tcPr>
            <w:tcW w:w="1907" w:type="dxa"/>
            <w:tcBorders>
              <w:top w:val="nil"/>
              <w:left w:val="nil"/>
              <w:bottom w:val="single" w:sz="4" w:space="0" w:color="FFFFFF"/>
              <w:right w:val="single" w:sz="4" w:space="0" w:color="FFFFFF"/>
            </w:tcBorders>
            <w:shd w:val="clear" w:color="000000" w:fill="DAE6F2"/>
            <w:noWrap/>
            <w:vAlign w:val="center"/>
            <w:hideMark/>
          </w:tcPr>
          <w:p w14:paraId="6BEA59EB" w14:textId="77777777" w:rsidR="0000091E" w:rsidRPr="00124A0B" w:rsidRDefault="0000091E" w:rsidP="00E808A8">
            <w:pPr>
              <w:pStyle w:val="Listenabsatz"/>
              <w:spacing w:line="276" w:lineRule="auto"/>
            </w:pPr>
            <w:r w:rsidRPr="00124A0B">
              <w:t>2-5</w:t>
            </w:r>
          </w:p>
        </w:tc>
      </w:tr>
      <w:tr w:rsidR="00A33FD4" w:rsidRPr="00124A0B" w14:paraId="24D583AA" w14:textId="77777777" w:rsidTr="008D2670">
        <w:trPr>
          <w:trHeight w:val="255"/>
        </w:trPr>
        <w:tc>
          <w:tcPr>
            <w:tcW w:w="7600" w:type="dxa"/>
            <w:tcBorders>
              <w:top w:val="nil"/>
              <w:left w:val="single" w:sz="4" w:space="0" w:color="FFFFFF"/>
              <w:bottom w:val="single" w:sz="4" w:space="0" w:color="FFFFFF"/>
              <w:right w:val="single" w:sz="4" w:space="0" w:color="FFFFFF"/>
            </w:tcBorders>
            <w:shd w:val="clear" w:color="000000" w:fill="BDD1E7"/>
            <w:vAlign w:val="center"/>
            <w:hideMark/>
          </w:tcPr>
          <w:p w14:paraId="49ED307E" w14:textId="77777777" w:rsidR="0000091E" w:rsidRPr="00124A0B" w:rsidRDefault="0000091E" w:rsidP="00E808A8">
            <w:pPr>
              <w:pStyle w:val="Listenabsatz"/>
              <w:spacing w:line="276" w:lineRule="auto"/>
            </w:pPr>
            <w:r w:rsidRPr="00124A0B">
              <w:t xml:space="preserve">Vertraut machen mit </w:t>
            </w:r>
            <w:r w:rsidR="009E3C3D">
              <w:t>der Bedienungsanleitung und Richtlinien</w:t>
            </w:r>
          </w:p>
        </w:tc>
        <w:tc>
          <w:tcPr>
            <w:tcW w:w="1907" w:type="dxa"/>
            <w:tcBorders>
              <w:top w:val="nil"/>
              <w:left w:val="nil"/>
              <w:bottom w:val="single" w:sz="4" w:space="0" w:color="FFFFFF"/>
              <w:right w:val="single" w:sz="4" w:space="0" w:color="FFFFFF"/>
            </w:tcBorders>
            <w:shd w:val="clear" w:color="000000" w:fill="BDD1E7"/>
            <w:noWrap/>
            <w:vAlign w:val="center"/>
            <w:hideMark/>
          </w:tcPr>
          <w:p w14:paraId="2B6A373A" w14:textId="77777777" w:rsidR="0000091E" w:rsidRPr="00124A0B" w:rsidRDefault="0000091E" w:rsidP="00E808A8">
            <w:pPr>
              <w:pStyle w:val="Listenabsatz"/>
              <w:spacing w:line="276" w:lineRule="auto"/>
            </w:pPr>
            <w:r w:rsidRPr="00124A0B">
              <w:t>1</w:t>
            </w:r>
          </w:p>
        </w:tc>
      </w:tr>
      <w:tr w:rsidR="00A33FD4" w:rsidRPr="00124A0B" w14:paraId="47107B11" w14:textId="77777777" w:rsidTr="008D2670">
        <w:trPr>
          <w:trHeight w:val="255"/>
        </w:trPr>
        <w:tc>
          <w:tcPr>
            <w:tcW w:w="7600" w:type="dxa"/>
            <w:tcBorders>
              <w:top w:val="single" w:sz="4" w:space="0" w:color="FFFFFF"/>
              <w:left w:val="single" w:sz="4" w:space="0" w:color="FFFFFF"/>
              <w:bottom w:val="single" w:sz="4" w:space="0" w:color="FFFFFF"/>
              <w:right w:val="single" w:sz="4" w:space="0" w:color="FFFFFF"/>
            </w:tcBorders>
            <w:shd w:val="clear" w:color="000000" w:fill="DAE6F2"/>
            <w:noWrap/>
            <w:vAlign w:val="center"/>
            <w:hideMark/>
          </w:tcPr>
          <w:p w14:paraId="2E28D133" w14:textId="77777777" w:rsidR="0000091E" w:rsidRPr="00124A0B" w:rsidRDefault="0000091E" w:rsidP="00E808A8">
            <w:pPr>
              <w:pStyle w:val="Listenabsatz"/>
              <w:spacing w:line="276" w:lineRule="auto"/>
              <w:rPr>
                <w:rFonts w:cstheme="minorHAnsi"/>
              </w:rPr>
            </w:pPr>
            <w:r w:rsidRPr="0059388E">
              <w:rPr>
                <w:rFonts w:cstheme="minorHAnsi"/>
                <w:b/>
              </w:rPr>
              <w:t>Durchschnitt Gesamtzeit</w:t>
            </w:r>
            <w:r w:rsidRPr="00124A0B">
              <w:rPr>
                <w:rFonts w:cstheme="minorHAnsi"/>
              </w:rPr>
              <w:t xml:space="preserve"> (ev. kürzer als Summe AT da Prozesse parallel)</w:t>
            </w:r>
          </w:p>
        </w:tc>
        <w:tc>
          <w:tcPr>
            <w:tcW w:w="1907" w:type="dxa"/>
            <w:tcBorders>
              <w:top w:val="single" w:sz="4" w:space="0" w:color="FFFFFF"/>
              <w:left w:val="nil"/>
              <w:bottom w:val="single" w:sz="4" w:space="0" w:color="FFFFFF"/>
              <w:right w:val="single" w:sz="4" w:space="0" w:color="FFFFFF"/>
            </w:tcBorders>
            <w:shd w:val="clear" w:color="000000" w:fill="DAE6F2"/>
            <w:noWrap/>
            <w:vAlign w:val="center"/>
            <w:hideMark/>
          </w:tcPr>
          <w:p w14:paraId="6EEE4D18" w14:textId="77777777" w:rsidR="0000091E" w:rsidRPr="0059388E" w:rsidRDefault="0000091E" w:rsidP="00E808A8">
            <w:pPr>
              <w:pStyle w:val="Listenabsatz"/>
              <w:spacing w:line="276" w:lineRule="auto"/>
              <w:rPr>
                <w:rFonts w:cstheme="minorHAnsi"/>
                <w:b/>
              </w:rPr>
            </w:pPr>
            <w:r w:rsidRPr="0059388E">
              <w:rPr>
                <w:rFonts w:cstheme="minorHAnsi"/>
                <w:b/>
              </w:rPr>
              <w:t>5</w:t>
            </w:r>
          </w:p>
        </w:tc>
      </w:tr>
      <w:tr w:rsidR="00A33FD4" w:rsidRPr="0059388E" w14:paraId="6FA5BB25" w14:textId="77777777" w:rsidTr="008D2670">
        <w:trPr>
          <w:trHeight w:val="255"/>
        </w:trPr>
        <w:tc>
          <w:tcPr>
            <w:tcW w:w="7600" w:type="dxa"/>
            <w:tcBorders>
              <w:top w:val="single" w:sz="4" w:space="0" w:color="FFFFFF"/>
              <w:left w:val="single" w:sz="4" w:space="0" w:color="FFFFFF"/>
              <w:bottom w:val="single" w:sz="4" w:space="0" w:color="FFFFFF"/>
              <w:right w:val="single" w:sz="4" w:space="0" w:color="FFFFFF"/>
            </w:tcBorders>
            <w:shd w:val="clear" w:color="000000" w:fill="FFFFFF"/>
            <w:vAlign w:val="center"/>
            <w:hideMark/>
          </w:tcPr>
          <w:p w14:paraId="5E4E2400" w14:textId="77777777" w:rsidR="0000091E" w:rsidRPr="0059388E" w:rsidRDefault="0000091E" w:rsidP="00E808A8">
            <w:pPr>
              <w:pStyle w:val="Listenabsatz"/>
              <w:spacing w:line="276" w:lineRule="auto"/>
              <w:ind w:left="0"/>
              <w:rPr>
                <w:sz w:val="16"/>
                <w:szCs w:val="16"/>
              </w:rPr>
            </w:pPr>
            <w:r w:rsidRPr="0059388E">
              <w:rPr>
                <w:sz w:val="16"/>
                <w:szCs w:val="16"/>
              </w:rPr>
              <w:t>*</w:t>
            </w:r>
            <w:r w:rsidR="006F1A1F">
              <w:rPr>
                <w:rFonts w:cs="Arial"/>
                <w:sz w:val="16"/>
                <w:szCs w:val="16"/>
              </w:rPr>
              <w:t xml:space="preserve"> AT= Arbeitstage sind </w:t>
            </w:r>
            <w:r w:rsidR="006F1A1F" w:rsidRPr="00EF4434">
              <w:rPr>
                <w:rFonts w:cs="Arial"/>
                <w:sz w:val="16"/>
                <w:szCs w:val="16"/>
              </w:rPr>
              <w:t>Erfahrungswerte als Orientierungshilfe</w:t>
            </w:r>
          </w:p>
        </w:tc>
        <w:tc>
          <w:tcPr>
            <w:tcW w:w="1907" w:type="dxa"/>
            <w:tcBorders>
              <w:top w:val="nil"/>
              <w:left w:val="nil"/>
              <w:bottom w:val="nil"/>
              <w:right w:val="nil"/>
            </w:tcBorders>
            <w:shd w:val="clear" w:color="auto" w:fill="auto"/>
            <w:noWrap/>
            <w:vAlign w:val="center"/>
            <w:hideMark/>
          </w:tcPr>
          <w:p w14:paraId="76C7F242" w14:textId="77777777" w:rsidR="0000091E" w:rsidRPr="0059388E" w:rsidRDefault="0000091E" w:rsidP="00E808A8">
            <w:pPr>
              <w:pStyle w:val="Listenabsatz"/>
              <w:spacing w:line="276" w:lineRule="auto"/>
              <w:rPr>
                <w:sz w:val="16"/>
                <w:szCs w:val="16"/>
              </w:rPr>
            </w:pPr>
          </w:p>
        </w:tc>
      </w:tr>
    </w:tbl>
    <w:p w14:paraId="44096D4E" w14:textId="77777777" w:rsidR="0000091E" w:rsidRDefault="0000091E" w:rsidP="0000091E">
      <w:pPr>
        <w:ind w:left="708"/>
        <w:rPr>
          <w:b/>
        </w:rPr>
      </w:pPr>
    </w:p>
    <w:p w14:paraId="38B334B5" w14:textId="527F9237" w:rsidR="003C57A5" w:rsidRDefault="007D161D" w:rsidP="005323A3">
      <w:pPr>
        <w:pStyle w:val="berschrift2"/>
        <w:keepNext/>
        <w:keepLines/>
        <w:widowControl/>
        <w:numPr>
          <w:ilvl w:val="0"/>
          <w:numId w:val="24"/>
        </w:numPr>
        <w:overflowPunct/>
        <w:autoSpaceDE/>
        <w:autoSpaceDN/>
        <w:adjustRightInd/>
        <w:spacing w:before="200" w:after="0" w:line="480" w:lineRule="auto"/>
        <w:jc w:val="left"/>
        <w:textAlignment w:val="auto"/>
      </w:pPr>
      <w:bookmarkStart w:id="42" w:name="_Toc31376450"/>
      <w:bookmarkStart w:id="43" w:name="_Ref470635410"/>
      <w:bookmarkEnd w:id="41"/>
      <w:r>
        <w:t>Technische Dokumentationen und Datenaustauschprozesse auf</w:t>
      </w:r>
      <w:r w:rsidDel="007D161D">
        <w:t xml:space="preserve"> </w:t>
      </w:r>
      <w:r w:rsidR="003C57A5">
        <w:t xml:space="preserve"> </w:t>
      </w:r>
      <w:hyperlink r:id="rId84" w:history="1">
        <w:r w:rsidR="003C57A5" w:rsidRPr="00AD2478">
          <w:rPr>
            <w:rStyle w:val="Hyperlink"/>
          </w:rPr>
          <w:t>www.ebutilities.at</w:t>
        </w:r>
        <w:bookmarkEnd w:id="42"/>
      </w:hyperlink>
      <w:bookmarkEnd w:id="43"/>
      <w:r w:rsidR="003C57A5">
        <w:t xml:space="preserve"> </w:t>
      </w:r>
    </w:p>
    <w:p w14:paraId="4DF9E8C2" w14:textId="77777777" w:rsidR="003C57A5" w:rsidRPr="003C57A5" w:rsidRDefault="003C57A5" w:rsidP="003C57A5">
      <w:pPr>
        <w:rPr>
          <w:lang w:val="de-DE"/>
        </w:rPr>
      </w:pPr>
    </w:p>
    <w:p w14:paraId="07632EA0" w14:textId="77777777" w:rsidR="003C57A5" w:rsidRPr="00A04EB4" w:rsidRDefault="003C57A5" w:rsidP="003C57A5">
      <w:pPr>
        <w:rPr>
          <w:b/>
        </w:rPr>
      </w:pPr>
      <w:r w:rsidRPr="00A04EB4">
        <w:rPr>
          <w:b/>
        </w:rPr>
        <w:t>Rechtliche Grundlagen</w:t>
      </w:r>
    </w:p>
    <w:p w14:paraId="030062EE" w14:textId="77777777" w:rsidR="003C57A5" w:rsidRPr="00B652B8" w:rsidRDefault="00F26E1C" w:rsidP="003C57A5">
      <w:hyperlink r:id="rId85" w:history="1">
        <w:r w:rsidR="003C57A5">
          <w:rPr>
            <w:rStyle w:val="Hyperlink"/>
          </w:rPr>
          <w:t>Kapitel 5</w:t>
        </w:r>
        <w:r w:rsidR="003C57A5" w:rsidRPr="00A04EB4">
          <w:rPr>
            <w:rStyle w:val="Hyperlink"/>
          </w:rPr>
          <w:t xml:space="preserve"> der Sonstigen Marktregeln</w:t>
        </w:r>
      </w:hyperlink>
      <w:r w:rsidR="00D44F2F">
        <w:rPr>
          <w:rStyle w:val="Hyperlink"/>
        </w:rPr>
        <w:t xml:space="preserve"> </w:t>
      </w:r>
      <w:r w:rsidR="00D44F2F" w:rsidRPr="00136CBE">
        <w:rPr>
          <w:rStyle w:val="Hyperlink"/>
          <w:color w:val="auto"/>
          <w:u w:val="none"/>
        </w:rPr>
        <w:t>sowie Erläuterungen dazu</w:t>
      </w:r>
    </w:p>
    <w:p w14:paraId="40DFFDC8" w14:textId="77777777" w:rsidR="003C57A5" w:rsidRPr="00B652B8" w:rsidRDefault="003C57A5" w:rsidP="003C57A5">
      <w:pPr>
        <w:tabs>
          <w:tab w:val="left" w:pos="2118"/>
        </w:tabs>
        <w:rPr>
          <w:b/>
        </w:rPr>
      </w:pPr>
    </w:p>
    <w:p w14:paraId="6C17B9C6" w14:textId="77777777" w:rsidR="00D142E0" w:rsidRPr="00D142E0" w:rsidRDefault="00D142E0" w:rsidP="00D142E0">
      <w:pPr>
        <w:tabs>
          <w:tab w:val="left" w:pos="2118"/>
        </w:tabs>
        <w:rPr>
          <w:b/>
        </w:rPr>
      </w:pPr>
      <w:r w:rsidRPr="00D142E0">
        <w:rPr>
          <w:b/>
        </w:rPr>
        <w:t>Kurzbeschreibung</w:t>
      </w:r>
    </w:p>
    <w:p w14:paraId="559622CA" w14:textId="77777777" w:rsidR="003A3062" w:rsidRDefault="00F26E1C" w:rsidP="00A90DFB">
      <w:pPr>
        <w:tabs>
          <w:tab w:val="left" w:pos="2118"/>
        </w:tabs>
      </w:pPr>
      <w:hyperlink r:id="rId86" w:history="1">
        <w:r w:rsidR="000C184E" w:rsidRPr="00E97385">
          <w:rPr>
            <w:rStyle w:val="Hyperlink"/>
          </w:rPr>
          <w:t>www.ebutilities.at</w:t>
        </w:r>
      </w:hyperlink>
      <w:r w:rsidR="000C184E">
        <w:t xml:space="preserve"> ist eine gemeinsame Plattform von Oesterreichs Energie</w:t>
      </w:r>
      <w:r w:rsidR="00283933">
        <w:t xml:space="preserve"> (OE)</w:t>
      </w:r>
      <w:r w:rsidR="000C184E">
        <w:t xml:space="preserve">, dem Fachverband </w:t>
      </w:r>
      <w:r w:rsidR="00283933">
        <w:t xml:space="preserve">der </w:t>
      </w:r>
      <w:r w:rsidR="000C184E">
        <w:t>Gas-</w:t>
      </w:r>
      <w:r w:rsidR="00283933">
        <w:t xml:space="preserve"> und </w:t>
      </w:r>
      <w:r w:rsidR="000C184E">
        <w:t>Wärme</w:t>
      </w:r>
      <w:r w:rsidR="00283933">
        <w:t>versorgungsunternehmungen</w:t>
      </w:r>
      <w:r w:rsidR="000C184E">
        <w:t xml:space="preserve"> </w:t>
      </w:r>
      <w:r w:rsidR="00283933">
        <w:t>(FGW) und der Vereinigung Österreichischer Elektrizitätswerke</w:t>
      </w:r>
      <w:r w:rsidR="000C184E">
        <w:t xml:space="preserve"> </w:t>
      </w:r>
      <w:r w:rsidR="00283933">
        <w:t xml:space="preserve">(VÖEW) </w:t>
      </w:r>
      <w:r w:rsidR="000C184E">
        <w:t xml:space="preserve">zur Information über energiewirtschaftliche Geschäftsprozesse, Datenformate und der energiewirtschaftlichen Datenübertragung (EDA). </w:t>
      </w:r>
    </w:p>
    <w:p w14:paraId="4A87B808" w14:textId="77777777" w:rsidR="003A3062" w:rsidRDefault="003A3062" w:rsidP="00A90DFB">
      <w:pPr>
        <w:tabs>
          <w:tab w:val="left" w:pos="2118"/>
        </w:tabs>
      </w:pPr>
    </w:p>
    <w:p w14:paraId="653EC2C9" w14:textId="427D4DF8" w:rsidR="00D142E0" w:rsidRDefault="00D142E0" w:rsidP="00A90DFB">
      <w:pPr>
        <w:tabs>
          <w:tab w:val="left" w:pos="2118"/>
        </w:tabs>
      </w:pPr>
      <w:r>
        <w:t xml:space="preserve">Das Kapitel 5 der Sonstigen Marktregeln gibt Interessensvertretern von Marktteilnehmern </w:t>
      </w:r>
      <w:r w:rsidR="007D161D">
        <w:t>die Möglichkeit</w:t>
      </w:r>
      <w:r>
        <w:t xml:space="preserve">, selbst und gemeinsam mit allen registrierten Marktpartnern in sogenannten „Technischen Dokumentationen“ Details </w:t>
      </w:r>
      <w:r w:rsidRPr="00D142E0">
        <w:t>zu Geschäftsprozessen, Datenformaten und Datenübertragung fest</w:t>
      </w:r>
      <w:r>
        <w:t xml:space="preserve">zulegen. </w:t>
      </w:r>
      <w:r w:rsidR="000C184E">
        <w:t xml:space="preserve">Sofern diese </w:t>
      </w:r>
      <w:r>
        <w:t xml:space="preserve">unter </w:t>
      </w:r>
      <w:r w:rsidR="000C184E">
        <w:t xml:space="preserve">Beteiligung von Marktpartnern und unter Beachtung von Fristen </w:t>
      </w:r>
      <w:r>
        <w:t>erarbeitet und</w:t>
      </w:r>
      <w:r w:rsidR="007D161D">
        <w:t xml:space="preserve"> konsultiert sowie</w:t>
      </w:r>
      <w:r>
        <w:t xml:space="preserve"> auf </w:t>
      </w:r>
      <w:hyperlink r:id="rId87" w:history="1">
        <w:r w:rsidR="00FA67D1" w:rsidRPr="00FA67D1">
          <w:rPr>
            <w:rStyle w:val="Hyperlink"/>
          </w:rPr>
          <w:t>www.ebutilities.at</w:t>
        </w:r>
      </w:hyperlink>
      <w:r>
        <w:t xml:space="preserve"> veröffentlicht</w:t>
      </w:r>
      <w:r w:rsidR="000C184E">
        <w:t xml:space="preserve"> wurden, sind sie </w:t>
      </w:r>
      <w:r w:rsidR="00FA67D1">
        <w:t>von allen Marktteilnehmern anzuwenden.</w:t>
      </w:r>
      <w:r w:rsidR="00A90DFB" w:rsidRPr="00A90DFB">
        <w:t xml:space="preserve"> </w:t>
      </w:r>
      <w:r w:rsidR="00A90DFB">
        <w:t xml:space="preserve">Um von Konsultationen zu erfahren </w:t>
      </w:r>
      <w:r w:rsidR="00A90DFB">
        <w:lastRenderedPageBreak/>
        <w:t xml:space="preserve">bzw. an ihnen teilnehmen zu können ohne Marktpartner zu sein </w:t>
      </w:r>
      <w:r w:rsidR="00B652B8">
        <w:t>(</w:t>
      </w:r>
      <w:r w:rsidR="00A90DFB">
        <w:t xml:space="preserve">Interessensvertretungen, Dienstleister aber auch Privatpersonen </w:t>
      </w:r>
      <w:proofErr w:type="spellStart"/>
      <w:r w:rsidR="00A90DFB">
        <w:t>u.ä.</w:t>
      </w:r>
      <w:proofErr w:type="spellEnd"/>
      <w:r w:rsidR="00A90DFB">
        <w:t>)</w:t>
      </w:r>
      <w:r w:rsidR="00B10413">
        <w:t>,</w:t>
      </w:r>
      <w:r w:rsidR="00A90DFB">
        <w:t xml:space="preserve"> können Sie sich als solcher</w:t>
      </w:r>
      <w:r w:rsidR="00367D7D">
        <w:t xml:space="preserve"> </w:t>
      </w:r>
      <w:r w:rsidR="00A90DFB">
        <w:t>ebenfalls an der Plattform anmelden.</w:t>
      </w:r>
    </w:p>
    <w:p w14:paraId="3B321B2A" w14:textId="77777777" w:rsidR="00E11108" w:rsidRDefault="00E11108" w:rsidP="00D142E0">
      <w:pPr>
        <w:tabs>
          <w:tab w:val="left" w:pos="2118"/>
        </w:tabs>
      </w:pPr>
    </w:p>
    <w:p w14:paraId="794CF3BC" w14:textId="25AD6E6C" w:rsidR="00B82DD7" w:rsidRDefault="00B82DD7" w:rsidP="00B82DD7">
      <w:pPr>
        <w:tabs>
          <w:tab w:val="left" w:pos="2118"/>
        </w:tabs>
        <w:rPr>
          <w:b/>
        </w:rPr>
      </w:pPr>
      <w:r>
        <w:t>Alle für Strom r</w:t>
      </w:r>
      <w:r w:rsidR="007D161D">
        <w:t>elevante</w:t>
      </w:r>
      <w:r>
        <w:t>n</w:t>
      </w:r>
      <w:r w:rsidR="007D161D">
        <w:t xml:space="preserve"> Technische</w:t>
      </w:r>
      <w:r>
        <w:t>n</w:t>
      </w:r>
      <w:r w:rsidR="007D161D">
        <w:t xml:space="preserve"> Dokumentationen</w:t>
      </w:r>
      <w:r w:rsidR="003A3062">
        <w:t xml:space="preserve">, die </w:t>
      </w:r>
      <w:r w:rsidR="007D161D">
        <w:t xml:space="preserve">über diese Plattform konsultiert </w:t>
      </w:r>
      <w:r w:rsidR="003A3062">
        <w:t>wurden,</w:t>
      </w:r>
      <w:r w:rsidR="007D161D">
        <w:t xml:space="preserve"> sind </w:t>
      </w:r>
      <w:r>
        <w:t>dort in Form von Prozessen und Prozesskategorien veröffentlicht.</w:t>
      </w:r>
      <w:r w:rsidR="00780BF4">
        <w:t xml:space="preserve"> Unter anderem finden sie dort Informationen zu folgenden Themenbereichen:</w:t>
      </w:r>
    </w:p>
    <w:p w14:paraId="0F88E6A2" w14:textId="7862A335" w:rsidR="007D161D" w:rsidRPr="00472341" w:rsidRDefault="007D161D" w:rsidP="00136CBE">
      <w:pPr>
        <w:pStyle w:val="Listenabsatz"/>
        <w:numPr>
          <w:ilvl w:val="0"/>
          <w:numId w:val="31"/>
        </w:numPr>
        <w:tabs>
          <w:tab w:val="left" w:pos="2118"/>
        </w:tabs>
        <w:ind w:left="709"/>
      </w:pPr>
      <w:r w:rsidRPr="009B6E97">
        <w:t>Elektronische Rechnungslegung</w:t>
      </w:r>
    </w:p>
    <w:p w14:paraId="55B1F05F" w14:textId="05EEB7DF" w:rsidR="007D161D" w:rsidRPr="00472341" w:rsidRDefault="007D161D" w:rsidP="00136CBE">
      <w:pPr>
        <w:pStyle w:val="Listenabsatz"/>
        <w:numPr>
          <w:ilvl w:val="0"/>
          <w:numId w:val="4"/>
        </w:numPr>
        <w:tabs>
          <w:tab w:val="left" w:pos="2118"/>
        </w:tabs>
        <w:spacing w:before="200" w:after="0"/>
        <w:ind w:left="709" w:hanging="357"/>
      </w:pPr>
      <w:r w:rsidRPr="00136CBE">
        <w:t>Rückforderungsprozesse</w:t>
      </w:r>
    </w:p>
    <w:p w14:paraId="43CE9F6D" w14:textId="4B120D64" w:rsidR="007D161D" w:rsidRPr="00136CBE" w:rsidRDefault="007D161D">
      <w:pPr>
        <w:pStyle w:val="Listenabsatz"/>
        <w:numPr>
          <w:ilvl w:val="0"/>
          <w:numId w:val="4"/>
        </w:numPr>
        <w:tabs>
          <w:tab w:val="left" w:pos="2118"/>
        </w:tabs>
        <w:spacing w:before="200" w:after="0"/>
        <w:ind w:left="714" w:hanging="357"/>
      </w:pPr>
      <w:r w:rsidRPr="00136CBE">
        <w:t xml:space="preserve">Verbrauchsdaten Intelligente Messgeräte </w:t>
      </w:r>
    </w:p>
    <w:p w14:paraId="587FFBA0" w14:textId="3BBC96BD" w:rsidR="007D161D" w:rsidRPr="00136CBE" w:rsidRDefault="007D161D" w:rsidP="00136CBE">
      <w:pPr>
        <w:pStyle w:val="Listenabsatz"/>
        <w:widowControl w:val="0"/>
        <w:numPr>
          <w:ilvl w:val="0"/>
          <w:numId w:val="4"/>
        </w:numPr>
        <w:tabs>
          <w:tab w:val="left" w:pos="2118"/>
        </w:tabs>
        <w:spacing w:before="200" w:after="0"/>
        <w:ind w:left="714" w:hanging="357"/>
      </w:pPr>
      <w:r w:rsidRPr="00136CBE">
        <w:t>Customer Prozesse</w:t>
      </w:r>
    </w:p>
    <w:p w14:paraId="3356971F" w14:textId="1F448047" w:rsidR="007D161D" w:rsidRDefault="007D161D" w:rsidP="00136CBE">
      <w:pPr>
        <w:widowControl w:val="0"/>
        <w:tabs>
          <w:tab w:val="left" w:pos="2118"/>
        </w:tabs>
        <w:ind w:left="709"/>
      </w:pPr>
    </w:p>
    <w:p w14:paraId="6D67A497" w14:textId="77777777" w:rsidR="00FA67D1" w:rsidRPr="00567F5E" w:rsidRDefault="00FA67D1" w:rsidP="00412864">
      <w:pPr>
        <w:keepNext/>
        <w:rPr>
          <w:b/>
        </w:rPr>
      </w:pPr>
      <w:r w:rsidRPr="00567F5E">
        <w:rPr>
          <w:b/>
        </w:rPr>
        <w:t xml:space="preserve">Handlungsanweisung </w:t>
      </w:r>
    </w:p>
    <w:p w14:paraId="6478D98A" w14:textId="77777777" w:rsidR="00B82DD7" w:rsidRDefault="006446A1" w:rsidP="00283933">
      <w:pPr>
        <w:tabs>
          <w:tab w:val="left" w:pos="2118"/>
        </w:tabs>
      </w:pPr>
      <w:r>
        <w:t>Es ist sehr zu empfehlen, sich als Marktpartner</w:t>
      </w:r>
      <w:r w:rsidR="00A90DFB">
        <w:t xml:space="preserve"> oder</w:t>
      </w:r>
      <w:r w:rsidR="000C184E">
        <w:t xml:space="preserve"> </w:t>
      </w:r>
      <w:r w:rsidR="00A90DFB" w:rsidRPr="00A90DFB">
        <w:t>marktinteressierte</w:t>
      </w:r>
      <w:r w:rsidR="00A90DFB">
        <w:t>r</w:t>
      </w:r>
      <w:r w:rsidR="00A90DFB" w:rsidRPr="00A90DFB">
        <w:t xml:space="preserve"> Partner</w:t>
      </w:r>
      <w:r w:rsidR="00A90DFB">
        <w:t xml:space="preserve"> </w:t>
      </w:r>
      <w:r w:rsidR="000C184E">
        <w:t xml:space="preserve">auf </w:t>
      </w:r>
      <w:hyperlink r:id="rId88" w:history="1">
        <w:r w:rsidR="000C184E" w:rsidRPr="00E97385">
          <w:rPr>
            <w:rStyle w:val="Hyperlink"/>
          </w:rPr>
          <w:t>www.ebutilities.at</w:t>
        </w:r>
      </w:hyperlink>
      <w:r w:rsidR="000C184E">
        <w:t xml:space="preserve"> zu registrieren, um </w:t>
      </w:r>
      <w:r w:rsidR="00E11108">
        <w:t xml:space="preserve">rechtzeitig </w:t>
      </w:r>
      <w:r w:rsidR="000C184E">
        <w:t>über geplante Änderungen in Technischen Dokumentationen informiert zu werden und an Konsultationen teilnehmen zu können.</w:t>
      </w:r>
      <w:r w:rsidR="007D161D">
        <w:t xml:space="preserve"> </w:t>
      </w:r>
    </w:p>
    <w:p w14:paraId="04A2B17F" w14:textId="33370F16" w:rsidR="00283933" w:rsidRDefault="007D161D" w:rsidP="00283933">
      <w:pPr>
        <w:tabs>
          <w:tab w:val="left" w:pos="2118"/>
        </w:tabs>
      </w:pPr>
      <w:r>
        <w:t>Eine Anleitung zur Registrierung finden Sie unter</w:t>
      </w:r>
      <w:r w:rsidR="003A3062">
        <w:t>:</w:t>
      </w:r>
      <w:r w:rsidR="00B82DD7">
        <w:t xml:space="preserve"> </w:t>
      </w:r>
      <w:hyperlink w:history="1"/>
      <w:hyperlink r:id="rId89" w:history="1">
        <w:r w:rsidR="009C659D" w:rsidRPr="00A27686">
          <w:rPr>
            <w:rStyle w:val="Hyperlink"/>
          </w:rPr>
          <w:t>https://ebutilities.at/utilities/marktpartner/registration/index.php</w:t>
        </w:r>
      </w:hyperlink>
      <w:r w:rsidR="00B82DD7">
        <w:rPr>
          <w:rStyle w:val="Hyperlink"/>
        </w:rPr>
        <w:t>.</w:t>
      </w:r>
    </w:p>
    <w:p w14:paraId="01B5A47B" w14:textId="77777777" w:rsidR="00B82DD7" w:rsidRDefault="00B82DD7" w:rsidP="00283933">
      <w:pPr>
        <w:tabs>
          <w:tab w:val="left" w:pos="2118"/>
        </w:tabs>
      </w:pPr>
    </w:p>
    <w:p w14:paraId="70800EFB" w14:textId="16D4EDDB" w:rsidR="00283933" w:rsidRDefault="00283933" w:rsidP="00283933">
      <w:pPr>
        <w:tabs>
          <w:tab w:val="left" w:pos="2118"/>
        </w:tabs>
      </w:pPr>
      <w:r>
        <w:t xml:space="preserve">In den </w:t>
      </w:r>
      <w:hyperlink r:id="rId90" w:history="1">
        <w:r w:rsidRPr="007D161D">
          <w:rPr>
            <w:rStyle w:val="Hyperlink"/>
          </w:rPr>
          <w:t>Erläuterungen zu Kapitel 5 der Sonstigen Marktregeln</w:t>
        </w:r>
      </w:hyperlink>
      <w:r>
        <w:t xml:space="preserve"> sind unterschiedliche </w:t>
      </w:r>
      <w:r w:rsidR="002047D4">
        <w:t>Varianten</w:t>
      </w:r>
      <w:r>
        <w:t xml:space="preserve"> beschrieben, um die Übermittlung der Daten zu energiewirtschaftlichen Prozessen durchzuführen:</w:t>
      </w:r>
    </w:p>
    <w:p w14:paraId="7BCB95B6" w14:textId="77777777" w:rsidR="00283933" w:rsidRDefault="00283933" w:rsidP="00283933">
      <w:pPr>
        <w:tabs>
          <w:tab w:val="left" w:pos="2118"/>
        </w:tabs>
      </w:pPr>
    </w:p>
    <w:p w14:paraId="4C3B61ED" w14:textId="77777777" w:rsidR="00283933" w:rsidRDefault="00283933" w:rsidP="00283933">
      <w:pPr>
        <w:pStyle w:val="Listenabsatz"/>
        <w:numPr>
          <w:ilvl w:val="0"/>
          <w:numId w:val="4"/>
        </w:numPr>
        <w:tabs>
          <w:tab w:val="left" w:pos="2118"/>
        </w:tabs>
      </w:pPr>
      <w:r>
        <w:t>Umsetzung in eigener IT-Landschaft,</w:t>
      </w:r>
    </w:p>
    <w:p w14:paraId="1D288FDA" w14:textId="77777777" w:rsidR="00283933" w:rsidRDefault="00283933" w:rsidP="00283933">
      <w:pPr>
        <w:pStyle w:val="Listenabsatz"/>
        <w:numPr>
          <w:ilvl w:val="0"/>
          <w:numId w:val="4"/>
        </w:numPr>
        <w:tabs>
          <w:tab w:val="left" w:pos="2118"/>
        </w:tabs>
      </w:pPr>
      <w:r>
        <w:t>Nutzung eines IT-Dienstleisters oder</w:t>
      </w:r>
    </w:p>
    <w:p w14:paraId="38234E00" w14:textId="77777777" w:rsidR="00283933" w:rsidRDefault="00283933" w:rsidP="00283933">
      <w:pPr>
        <w:pStyle w:val="Listenabsatz"/>
        <w:numPr>
          <w:ilvl w:val="0"/>
          <w:numId w:val="4"/>
        </w:numPr>
        <w:tabs>
          <w:tab w:val="left" w:pos="2118"/>
        </w:tabs>
      </w:pPr>
      <w:r>
        <w:t>Nutzung des Self-Storage-Dienstes der Verrechnungsstelle.</w:t>
      </w:r>
    </w:p>
    <w:p w14:paraId="3D742B7E" w14:textId="77777777" w:rsidR="00283933" w:rsidRDefault="00283933" w:rsidP="00FA67D1">
      <w:pPr>
        <w:tabs>
          <w:tab w:val="left" w:pos="2118"/>
        </w:tabs>
      </w:pPr>
      <w:r>
        <w:t>Der energiewirtschaftliche Datenaustausch (EDA) ist grundsätzlich für alle Marktteilnehmer kostenlos (ausgenommen Netzbetreiber). Nähere Details zu Kostentragung, Supportpaketen und erforderlichen Verträgen (Lizenzvertrag, Supportvertrag, Verträge mit IT-Dienstleistern) finden Sie ebenfalls in den Erläuterungen zu den Sonstigen Marktregeln Kapitel 5.</w:t>
      </w:r>
    </w:p>
    <w:p w14:paraId="2CB56448" w14:textId="77777777" w:rsidR="000C184E" w:rsidRDefault="000C184E" w:rsidP="00FA67D1">
      <w:pPr>
        <w:tabs>
          <w:tab w:val="left" w:pos="2118"/>
        </w:tabs>
      </w:pPr>
    </w:p>
    <w:tbl>
      <w:tblPr>
        <w:tblW w:w="0" w:type="auto"/>
        <w:tblInd w:w="55" w:type="dxa"/>
        <w:tblCellMar>
          <w:left w:w="70" w:type="dxa"/>
          <w:right w:w="70" w:type="dxa"/>
        </w:tblCellMar>
        <w:tblLook w:val="04A0" w:firstRow="1" w:lastRow="0" w:firstColumn="1" w:lastColumn="0" w:noHBand="0" w:noVBand="1"/>
      </w:tblPr>
      <w:tblGrid>
        <w:gridCol w:w="9507"/>
      </w:tblGrid>
      <w:tr w:rsidR="008C2500" w:rsidRPr="0059388E" w14:paraId="11BCF70B" w14:textId="77777777" w:rsidTr="008C2500">
        <w:trPr>
          <w:trHeight w:val="255"/>
        </w:trPr>
        <w:tc>
          <w:tcPr>
            <w:tcW w:w="0" w:type="auto"/>
            <w:tcBorders>
              <w:top w:val="nil"/>
              <w:left w:val="nil"/>
              <w:bottom w:val="nil"/>
              <w:right w:val="nil"/>
            </w:tcBorders>
            <w:shd w:val="clear" w:color="000000" w:fill="95B3D7"/>
            <w:noWrap/>
            <w:vAlign w:val="center"/>
            <w:hideMark/>
          </w:tcPr>
          <w:p w14:paraId="45D4DA06" w14:textId="77777777" w:rsidR="008C2500" w:rsidRPr="0059388E" w:rsidRDefault="008C2500" w:rsidP="000C184E">
            <w:pPr>
              <w:pStyle w:val="Listenabsatz"/>
              <w:spacing w:line="276" w:lineRule="auto"/>
              <w:ind w:left="0"/>
              <w:rPr>
                <w:b/>
              </w:rPr>
            </w:pPr>
            <w:r w:rsidRPr="0059388E">
              <w:rPr>
                <w:b/>
              </w:rPr>
              <w:t>Checkliste –</w:t>
            </w:r>
            <w:r>
              <w:rPr>
                <w:b/>
              </w:rPr>
              <w:t xml:space="preserve"> Registrierung als Marktpartner auf www.ebutilities.at</w:t>
            </w:r>
          </w:p>
        </w:tc>
      </w:tr>
      <w:tr w:rsidR="008C2500" w:rsidRPr="00124A0B" w14:paraId="4904FA79" w14:textId="77777777" w:rsidTr="008C2500">
        <w:trPr>
          <w:trHeight w:val="255"/>
        </w:trPr>
        <w:tc>
          <w:tcPr>
            <w:tcW w:w="0" w:type="auto"/>
            <w:tcBorders>
              <w:top w:val="single" w:sz="4" w:space="0" w:color="FFFFFF"/>
              <w:left w:val="single" w:sz="4" w:space="0" w:color="FFFFFF"/>
              <w:bottom w:val="single" w:sz="4" w:space="0" w:color="FFFFFF"/>
              <w:right w:val="single" w:sz="4" w:space="0" w:color="FFFFFF"/>
            </w:tcBorders>
            <w:shd w:val="clear" w:color="000000" w:fill="BDD1E7"/>
            <w:vAlign w:val="center"/>
            <w:hideMark/>
          </w:tcPr>
          <w:p w14:paraId="195E12D3" w14:textId="77777777" w:rsidR="008C2500" w:rsidRPr="00124A0B" w:rsidRDefault="008C2500" w:rsidP="00AD3915">
            <w:pPr>
              <w:pStyle w:val="Listenabsatz"/>
              <w:spacing w:line="276" w:lineRule="auto"/>
            </w:pPr>
            <w:r>
              <w:t xml:space="preserve">Durchsicht der Informationen auf der Website </w:t>
            </w:r>
            <w:hyperlink r:id="rId91" w:history="1">
              <w:r w:rsidRPr="00E97385">
                <w:rPr>
                  <w:rStyle w:val="Hyperlink"/>
                </w:rPr>
                <w:t>www.ebutilities.at</w:t>
              </w:r>
            </w:hyperlink>
            <w:r>
              <w:t xml:space="preserve"> </w:t>
            </w:r>
          </w:p>
        </w:tc>
      </w:tr>
      <w:tr w:rsidR="008C2500" w:rsidRPr="00124A0B" w14:paraId="182E4581" w14:textId="77777777" w:rsidTr="008C2500">
        <w:trPr>
          <w:trHeight w:val="255"/>
        </w:trPr>
        <w:tc>
          <w:tcPr>
            <w:tcW w:w="0" w:type="auto"/>
            <w:tcBorders>
              <w:top w:val="nil"/>
              <w:left w:val="single" w:sz="4" w:space="0" w:color="FFFFFF"/>
              <w:bottom w:val="single" w:sz="4" w:space="0" w:color="FFFFFF"/>
              <w:right w:val="single" w:sz="4" w:space="0" w:color="FFFFFF"/>
            </w:tcBorders>
            <w:shd w:val="clear" w:color="000000" w:fill="DAE6F2"/>
            <w:noWrap/>
            <w:vAlign w:val="center"/>
            <w:hideMark/>
          </w:tcPr>
          <w:p w14:paraId="5F09DB48" w14:textId="32262840" w:rsidR="008C2500" w:rsidRPr="00124A0B" w:rsidRDefault="008C2500" w:rsidP="00AD3915">
            <w:pPr>
              <w:pStyle w:val="Listenabsatz"/>
              <w:spacing w:line="276" w:lineRule="auto"/>
            </w:pPr>
            <w:r>
              <w:t xml:space="preserve">Registrierung als Marktpartner auf </w:t>
            </w:r>
            <w:hyperlink r:id="rId92" w:history="1">
              <w:r w:rsidR="003603DA" w:rsidRPr="00A27686">
                <w:rPr>
                  <w:rStyle w:val="Hyperlink"/>
                </w:rPr>
                <w:t>https://ebutilities.at/utilities/marktpartner/registration/index.php</w:t>
              </w:r>
            </w:hyperlink>
          </w:p>
        </w:tc>
      </w:tr>
      <w:tr w:rsidR="008C2500" w:rsidRPr="00124A0B" w14:paraId="5AF20515" w14:textId="77777777" w:rsidTr="008C2500">
        <w:trPr>
          <w:trHeight w:val="255"/>
        </w:trPr>
        <w:tc>
          <w:tcPr>
            <w:tcW w:w="0" w:type="auto"/>
            <w:tcBorders>
              <w:top w:val="nil"/>
              <w:left w:val="single" w:sz="4" w:space="0" w:color="FFFFFF"/>
              <w:bottom w:val="single" w:sz="4" w:space="0" w:color="FFFFFF"/>
              <w:right w:val="single" w:sz="4" w:space="0" w:color="FFFFFF"/>
            </w:tcBorders>
            <w:shd w:val="clear" w:color="000000" w:fill="BDD1E7"/>
            <w:vAlign w:val="center"/>
            <w:hideMark/>
          </w:tcPr>
          <w:p w14:paraId="422D325E" w14:textId="77777777" w:rsidR="008C2500" w:rsidRPr="00124A0B" w:rsidRDefault="008C2500" w:rsidP="002047D4">
            <w:pPr>
              <w:pStyle w:val="Listenabsatz"/>
              <w:spacing w:line="276" w:lineRule="auto"/>
            </w:pPr>
            <w:r>
              <w:t>Entscheidung hinsichtlich der gewünschten Variante der Datenübertragung</w:t>
            </w:r>
          </w:p>
        </w:tc>
      </w:tr>
      <w:tr w:rsidR="008C2500" w:rsidRPr="00124A0B" w14:paraId="21205607" w14:textId="77777777" w:rsidTr="00AD3915">
        <w:trPr>
          <w:trHeight w:val="255"/>
        </w:trPr>
        <w:tc>
          <w:tcPr>
            <w:tcW w:w="0" w:type="auto"/>
            <w:tcBorders>
              <w:top w:val="nil"/>
              <w:left w:val="single" w:sz="4" w:space="0" w:color="FFFFFF"/>
              <w:bottom w:val="single" w:sz="4" w:space="0" w:color="FFFFFF"/>
              <w:right w:val="single" w:sz="4" w:space="0" w:color="FFFFFF"/>
            </w:tcBorders>
            <w:shd w:val="clear" w:color="000000" w:fill="BDD1E7"/>
            <w:vAlign w:val="center"/>
          </w:tcPr>
          <w:p w14:paraId="11B9D4AB" w14:textId="77777777" w:rsidR="008C2500" w:rsidRDefault="008C2500" w:rsidP="002047D4">
            <w:pPr>
              <w:pStyle w:val="Listenabsatz"/>
              <w:spacing w:line="276" w:lineRule="auto"/>
            </w:pPr>
            <w:r>
              <w:lastRenderedPageBreak/>
              <w:t>Abschluss der zur Datenübertragung erforderlichen Verträge</w:t>
            </w:r>
          </w:p>
        </w:tc>
      </w:tr>
      <w:tr w:rsidR="008C2500" w:rsidRPr="00124A0B" w14:paraId="0545994D" w14:textId="77777777" w:rsidTr="00AD3915">
        <w:trPr>
          <w:trHeight w:val="255"/>
        </w:trPr>
        <w:tc>
          <w:tcPr>
            <w:tcW w:w="0" w:type="auto"/>
            <w:tcBorders>
              <w:top w:val="nil"/>
              <w:left w:val="single" w:sz="4" w:space="0" w:color="FFFFFF"/>
              <w:bottom w:val="single" w:sz="4" w:space="0" w:color="FFFFFF"/>
              <w:right w:val="single" w:sz="4" w:space="0" w:color="FFFFFF"/>
            </w:tcBorders>
            <w:shd w:val="clear" w:color="000000" w:fill="BDD1E7"/>
            <w:vAlign w:val="center"/>
          </w:tcPr>
          <w:p w14:paraId="7090FCF8" w14:textId="77777777" w:rsidR="008C2500" w:rsidRDefault="008C2500" w:rsidP="002047D4">
            <w:pPr>
              <w:pStyle w:val="Listenabsatz"/>
              <w:spacing w:line="276" w:lineRule="auto"/>
            </w:pPr>
            <w:r>
              <w:t>Umsetzung der anwendbaren Geschäftsprozesse, Datenformate und der Datenübertragung</w:t>
            </w:r>
          </w:p>
        </w:tc>
      </w:tr>
    </w:tbl>
    <w:p w14:paraId="5A16E554" w14:textId="77777777" w:rsidR="000C184E" w:rsidRDefault="000C184E" w:rsidP="00FA67D1">
      <w:pPr>
        <w:tabs>
          <w:tab w:val="left" w:pos="2118"/>
        </w:tabs>
      </w:pPr>
    </w:p>
    <w:p w14:paraId="3B68B6DC" w14:textId="77777777" w:rsidR="002047D4" w:rsidRPr="002047D4" w:rsidRDefault="002047D4" w:rsidP="006A0334">
      <w:pPr>
        <w:keepNext/>
        <w:rPr>
          <w:b/>
        </w:rPr>
      </w:pPr>
      <w:r>
        <w:rPr>
          <w:b/>
        </w:rPr>
        <w:t>Tipps und Hinweise</w:t>
      </w:r>
    </w:p>
    <w:p w14:paraId="04F122F3" w14:textId="3590B6A2" w:rsidR="00C545DF" w:rsidRDefault="002047D4" w:rsidP="00744141">
      <w:pPr>
        <w:keepNext/>
        <w:tabs>
          <w:tab w:val="left" w:pos="2118"/>
        </w:tabs>
      </w:pPr>
      <w:r>
        <w:t>Der Zeitaufwand kann sehr unterschiedlich sein, abhängig von der Anzahl der umzusetzenden Prozesse, der vorhandenen IT-Infrastruktur und der gewählten Variante der Datenübertragung.</w:t>
      </w:r>
      <w:r w:rsidR="00B60EF8">
        <w:t xml:space="preserve"> Es wird empfohlen, im Zuge der Versionierung bzw. </w:t>
      </w:r>
      <w:r w:rsidR="001777C6">
        <w:t>laufenden</w:t>
      </w:r>
      <w:r w:rsidR="00B60EF8">
        <w:t xml:space="preserve"> Weiterentwicklung </w:t>
      </w:r>
      <w:r w:rsidR="00C453F3">
        <w:t>auf</w:t>
      </w:r>
      <w:r w:rsidR="003603DA">
        <w:t xml:space="preserve"> </w:t>
      </w:r>
      <w:hyperlink r:id="rId93" w:history="1">
        <w:r w:rsidR="003603DA" w:rsidRPr="00E97385">
          <w:rPr>
            <w:rStyle w:val="Hyperlink"/>
          </w:rPr>
          <w:t>www.ebutilities.at</w:t>
        </w:r>
      </w:hyperlink>
      <w:r w:rsidR="00B60EF8">
        <w:t>, sich in den Prozess durch Abgabe von Stellungnahmen im Zuge des Konsultationsverfahrens einzubinden.</w:t>
      </w:r>
      <w:r w:rsidR="00BE3046">
        <w:t xml:space="preserve"> Bei allen Änderungen sind alle Marktteilnehmer gemäß den Sonstigen Marktregeln Kap. 5 ( </w:t>
      </w:r>
      <w:hyperlink r:id="rId94" w:history="1">
        <w:r w:rsidR="00BE3046">
          <w:rPr>
            <w:rStyle w:val="Hyperlink"/>
          </w:rPr>
          <w:t>https://www.e-control.at/marktteilnehmer/strom/marktregeln/sonstige_marktregeln</w:t>
        </w:r>
      </w:hyperlink>
      <w:r w:rsidR="00BE3046">
        <w:t xml:space="preserve"> ) einzubeziehen, je nach Umfang der Änderungen müssen gewisse Regeln und Fristen eingehalten werden, um allen Marktteilnehmern eine effiziente Umsetzung zu ermöglichen. Weiters gibt es das Recht, auch aktiv eigene Anliegen zur Weiterentwicklung einzubringen, diese müssen zwingend behandelt werde</w:t>
      </w:r>
      <w:r w:rsidR="00BD69ED">
        <w:t>n und die weitere Vorgehensweise muss begründet werden</w:t>
      </w:r>
      <w:r w:rsidR="00BE3046">
        <w:t>.</w:t>
      </w:r>
    </w:p>
    <w:p w14:paraId="2984DB1C" w14:textId="77777777" w:rsidR="00C009EC" w:rsidRDefault="00C009EC" w:rsidP="00744141">
      <w:pPr>
        <w:keepNext/>
        <w:tabs>
          <w:tab w:val="left" w:pos="2118"/>
        </w:tabs>
      </w:pPr>
    </w:p>
    <w:p w14:paraId="31D66493" w14:textId="77777777" w:rsidR="0000091E" w:rsidRDefault="00D44F2F" w:rsidP="00744141">
      <w:pPr>
        <w:pStyle w:val="berschrift2"/>
        <w:keepNext/>
        <w:keepLines/>
        <w:widowControl/>
        <w:numPr>
          <w:ilvl w:val="0"/>
          <w:numId w:val="24"/>
        </w:numPr>
        <w:overflowPunct/>
        <w:autoSpaceDE/>
        <w:autoSpaceDN/>
        <w:adjustRightInd/>
        <w:spacing w:before="200" w:after="0" w:line="480" w:lineRule="auto"/>
        <w:jc w:val="left"/>
        <w:textAlignment w:val="auto"/>
      </w:pPr>
      <w:bookmarkStart w:id="44" w:name="_Toc415129389"/>
      <w:bookmarkStart w:id="45" w:name="_Toc415213573"/>
      <w:bookmarkStart w:id="46" w:name="_Toc419284219"/>
      <w:bookmarkStart w:id="47" w:name="_Toc415129390"/>
      <w:bookmarkStart w:id="48" w:name="_Toc415213574"/>
      <w:bookmarkStart w:id="49" w:name="_Toc419284220"/>
      <w:bookmarkStart w:id="50" w:name="_Toc353353908"/>
      <w:bookmarkStart w:id="51" w:name="_Ref369209290"/>
      <w:bookmarkStart w:id="52" w:name="_Ref378679652"/>
      <w:bookmarkStart w:id="53" w:name="_Toc379201262"/>
      <w:bookmarkStart w:id="54" w:name="_Toc31376451"/>
      <w:bookmarkEnd w:id="44"/>
      <w:bookmarkEnd w:id="45"/>
      <w:bookmarkEnd w:id="46"/>
      <w:bookmarkEnd w:id="47"/>
      <w:bookmarkEnd w:id="48"/>
      <w:bookmarkEnd w:id="49"/>
      <w:r>
        <w:t>E</w:t>
      </w:r>
      <w:r w:rsidR="0000091E">
        <w:t>lektronische</w:t>
      </w:r>
      <w:r>
        <w:t>r</w:t>
      </w:r>
      <w:r w:rsidR="0000091E">
        <w:t xml:space="preserve"> Austausch von Netzrechnungen</w:t>
      </w:r>
      <w:bookmarkEnd w:id="50"/>
      <w:bookmarkEnd w:id="51"/>
      <w:bookmarkEnd w:id="52"/>
      <w:bookmarkEnd w:id="53"/>
      <w:bookmarkEnd w:id="54"/>
    </w:p>
    <w:p w14:paraId="08DD19E5" w14:textId="77777777" w:rsidR="0000091E" w:rsidRDefault="0000091E" w:rsidP="0000091E">
      <w:pPr>
        <w:rPr>
          <w:lang w:val="de-DE"/>
        </w:rPr>
      </w:pPr>
    </w:p>
    <w:p w14:paraId="25372C67" w14:textId="77777777" w:rsidR="00304E7D" w:rsidRPr="00A04EB4" w:rsidRDefault="00304E7D" w:rsidP="00304E7D">
      <w:pPr>
        <w:rPr>
          <w:b/>
        </w:rPr>
      </w:pPr>
      <w:r w:rsidRPr="00A04EB4">
        <w:rPr>
          <w:b/>
        </w:rPr>
        <w:t>Rechtliche Grundlagen</w:t>
      </w:r>
    </w:p>
    <w:p w14:paraId="2194A960" w14:textId="77777777" w:rsidR="003603DA" w:rsidRDefault="00F26E1C" w:rsidP="003603DA">
      <w:hyperlink r:id="rId95" w:history="1">
        <w:r w:rsidR="003603DA">
          <w:rPr>
            <w:rStyle w:val="Hyperlink"/>
          </w:rPr>
          <w:t>Kapitel 5</w:t>
        </w:r>
        <w:r w:rsidR="003603DA" w:rsidRPr="00A04EB4">
          <w:rPr>
            <w:rStyle w:val="Hyperlink"/>
          </w:rPr>
          <w:t xml:space="preserve"> der Sonstigen Marktregeln</w:t>
        </w:r>
      </w:hyperlink>
    </w:p>
    <w:p w14:paraId="50AF2676" w14:textId="4CD6CAD7" w:rsidR="00304E7D" w:rsidRDefault="00F26E1C" w:rsidP="003603DA">
      <w:pPr>
        <w:rPr>
          <w:b/>
        </w:rPr>
      </w:pPr>
      <w:hyperlink r:id="rId96" w:history="1">
        <w:r w:rsidR="003603DA" w:rsidRPr="004D19D6">
          <w:rPr>
            <w:rStyle w:val="Hyperlink"/>
          </w:rPr>
          <w:t>Allgemeine Bedingungen der Verteilernetzbetreiber</w:t>
        </w:r>
      </w:hyperlink>
    </w:p>
    <w:p w14:paraId="6A635BCD" w14:textId="77777777" w:rsidR="00412864" w:rsidRDefault="00412864" w:rsidP="00304E7D">
      <w:pPr>
        <w:rPr>
          <w:b/>
        </w:rPr>
      </w:pPr>
    </w:p>
    <w:p w14:paraId="00C5A6A3" w14:textId="77777777" w:rsidR="00304E7D" w:rsidRPr="00A04EB4" w:rsidRDefault="00304E7D" w:rsidP="00412864">
      <w:pPr>
        <w:keepNext/>
        <w:rPr>
          <w:b/>
        </w:rPr>
      </w:pPr>
      <w:r w:rsidRPr="00A04EB4">
        <w:rPr>
          <w:b/>
        </w:rPr>
        <w:t>Kurzbeschreibung</w:t>
      </w:r>
    </w:p>
    <w:p w14:paraId="594FA2EC" w14:textId="31CC31F0" w:rsidR="00304E7D" w:rsidRDefault="003603DA" w:rsidP="00304E7D">
      <w:r>
        <w:t xml:space="preserve">Lieferanten können ihren Kunden auch eine integrierte Rechnung (Energie und Netz) anbieten. </w:t>
      </w:r>
      <w:r w:rsidRPr="00020253">
        <w:t xml:space="preserve">In diesem Fall erhält der Kunde vom </w:t>
      </w:r>
      <w:r>
        <w:t>Lieferanten</w:t>
      </w:r>
      <w:r w:rsidRPr="00020253">
        <w:t xml:space="preserve"> nicht nur die Energierechnung</w:t>
      </w:r>
      <w:r>
        <w:t>,</w:t>
      </w:r>
      <w:r w:rsidRPr="00020253">
        <w:t xml:space="preserve"> sondern auch die Netzrechnung mit entsprechenden Steuern und Abgaben.</w:t>
      </w:r>
      <w:r>
        <w:t xml:space="preserve"> Der Netzbetreiber stellt dabei dem Lieferanten die Netzabrechnungsdaten in standardisierter elektronischer Form zur Verfügung.</w:t>
      </w:r>
      <w:r w:rsidR="00304E7D">
        <w:t xml:space="preserve"> </w:t>
      </w:r>
    </w:p>
    <w:p w14:paraId="5F2A2C06" w14:textId="77777777" w:rsidR="00304E7D" w:rsidRDefault="00304E7D" w:rsidP="00304E7D">
      <w:pPr>
        <w:rPr>
          <w:b/>
        </w:rPr>
      </w:pPr>
    </w:p>
    <w:p w14:paraId="6FE7B86B" w14:textId="77777777" w:rsidR="00304E7D" w:rsidRDefault="00304E7D" w:rsidP="00304E7D">
      <w:pPr>
        <w:rPr>
          <w:b/>
        </w:rPr>
      </w:pPr>
      <w:r w:rsidRPr="00AB5D00">
        <w:rPr>
          <w:b/>
        </w:rPr>
        <w:t>Handlungsanweisung</w:t>
      </w:r>
    </w:p>
    <w:p w14:paraId="7C1E0332" w14:textId="674544D8" w:rsidR="00304E7D" w:rsidRDefault="003603DA" w:rsidP="00304E7D">
      <w:r>
        <w:t xml:space="preserve">Falls Sie sich für eine integrierte Rechnungslegung gegenüber Ihren Kunden entschieden haben, sollten Sie mit den zuständigen Netzbetreibern Rahmenvereinbarungen </w:t>
      </w:r>
      <w:r w:rsidRPr="00DF26BA">
        <w:t xml:space="preserve">über die umsatzsteuerliche Behandlung von Leistungen aus Netzzugangsverträgen </w:t>
      </w:r>
      <w:r>
        <w:t>(Vorleistungs- und Rückläufermodell) abschließen. Ihre IT-Experten sollten sich auch mit den detaillierten Vorgaben der Technischen Dokumentation zum Prozess „</w:t>
      </w:r>
      <w:r w:rsidRPr="004D19D6">
        <w:t>Elektronischer Rechnungsdatenaustausch Netzbetreiber-Lieferant</w:t>
      </w:r>
      <w:r>
        <w:t xml:space="preserve">“ auf </w:t>
      </w:r>
      <w:hyperlink r:id="rId97" w:history="1">
        <w:r w:rsidRPr="007E4791">
          <w:rPr>
            <w:rStyle w:val="Hyperlink"/>
          </w:rPr>
          <w:t>www.ebutilities.at</w:t>
        </w:r>
      </w:hyperlink>
      <w:r>
        <w:t xml:space="preserve"> vertraut machen. Alle darüber hinausgehenden </w:t>
      </w:r>
      <w:r>
        <w:lastRenderedPageBreak/>
        <w:t>Regelungen wären in einem Datenaustauschvertrag bilateral zwischen Netzbetreiber und Lieferant zu vereinbaren.</w:t>
      </w:r>
    </w:p>
    <w:p w14:paraId="3BA2ECAE" w14:textId="77777777" w:rsidR="003603DA" w:rsidRDefault="003603DA" w:rsidP="00304E7D"/>
    <w:p w14:paraId="266D85B5" w14:textId="256BD203" w:rsidR="00304E7D" w:rsidRDefault="00304E7D" w:rsidP="00304E7D">
      <w:r>
        <w:t>Weiterführende Informationen finden Sie unter</w:t>
      </w:r>
      <w:r w:rsidR="000F6A4F">
        <w:t xml:space="preserve"> </w:t>
      </w:r>
      <w:hyperlink r:id="rId98" w:history="1">
        <w:r w:rsidR="003C57A5" w:rsidRPr="00AD2478">
          <w:rPr>
            <w:rStyle w:val="Hyperlink"/>
          </w:rPr>
          <w:t>www.ebutilities.at</w:t>
        </w:r>
      </w:hyperlink>
      <w:r>
        <w:t>.</w:t>
      </w:r>
    </w:p>
    <w:tbl>
      <w:tblPr>
        <w:tblW w:w="0" w:type="auto"/>
        <w:tblInd w:w="55" w:type="dxa"/>
        <w:tblCellMar>
          <w:left w:w="70" w:type="dxa"/>
          <w:right w:w="70" w:type="dxa"/>
        </w:tblCellMar>
        <w:tblLook w:val="04A0" w:firstRow="1" w:lastRow="0" w:firstColumn="1" w:lastColumn="0" w:noHBand="0" w:noVBand="1"/>
      </w:tblPr>
      <w:tblGrid>
        <w:gridCol w:w="9159"/>
      </w:tblGrid>
      <w:tr w:rsidR="003603DA" w:rsidRPr="0059388E" w14:paraId="62BBEFD6" w14:textId="77777777" w:rsidTr="00744141">
        <w:trPr>
          <w:trHeight w:val="737"/>
        </w:trPr>
        <w:tc>
          <w:tcPr>
            <w:tcW w:w="9159" w:type="dxa"/>
            <w:tcBorders>
              <w:top w:val="nil"/>
              <w:left w:val="nil"/>
              <w:bottom w:val="nil"/>
              <w:right w:val="nil"/>
            </w:tcBorders>
            <w:shd w:val="clear" w:color="000000" w:fill="95B3D7"/>
            <w:noWrap/>
            <w:vAlign w:val="center"/>
            <w:hideMark/>
          </w:tcPr>
          <w:p w14:paraId="52AF4400" w14:textId="77777777" w:rsidR="003603DA" w:rsidRPr="0059388E" w:rsidRDefault="003603DA" w:rsidP="00DB257C">
            <w:pPr>
              <w:pStyle w:val="Listenabsatz"/>
              <w:spacing w:line="276" w:lineRule="auto"/>
              <w:ind w:left="0"/>
              <w:rPr>
                <w:b/>
              </w:rPr>
            </w:pPr>
            <w:r w:rsidRPr="0059388E">
              <w:rPr>
                <w:b/>
              </w:rPr>
              <w:t xml:space="preserve">Checkliste </w:t>
            </w:r>
            <w:r>
              <w:rPr>
                <w:b/>
              </w:rPr>
              <w:t>–</w:t>
            </w:r>
            <w:r w:rsidRPr="0059388E">
              <w:rPr>
                <w:b/>
              </w:rPr>
              <w:t xml:space="preserve"> Registrierung zum elektronischen Austausch von Netzabrechnungsdaten</w:t>
            </w:r>
          </w:p>
        </w:tc>
      </w:tr>
      <w:tr w:rsidR="003603DA" w:rsidRPr="00E90CBD" w14:paraId="0C94A3F6" w14:textId="77777777" w:rsidTr="00744141">
        <w:trPr>
          <w:trHeight w:val="600"/>
        </w:trPr>
        <w:tc>
          <w:tcPr>
            <w:tcW w:w="9159" w:type="dxa"/>
            <w:tcBorders>
              <w:top w:val="single" w:sz="4" w:space="0" w:color="FFFFFF"/>
              <w:left w:val="single" w:sz="4" w:space="0" w:color="FFFFFF"/>
              <w:bottom w:val="single" w:sz="4" w:space="0" w:color="FFFFFF"/>
              <w:right w:val="single" w:sz="4" w:space="0" w:color="FFFFFF"/>
            </w:tcBorders>
            <w:shd w:val="clear" w:color="000000" w:fill="BDD1E7"/>
            <w:vAlign w:val="center"/>
            <w:hideMark/>
          </w:tcPr>
          <w:p w14:paraId="5EECDEB9" w14:textId="77777777" w:rsidR="003603DA" w:rsidRPr="00E90CBD" w:rsidRDefault="003603DA" w:rsidP="00DB257C">
            <w:pPr>
              <w:pStyle w:val="Listenabsatz"/>
              <w:spacing w:line="276" w:lineRule="auto"/>
            </w:pPr>
            <w:r w:rsidRPr="00E90CBD">
              <w:t>Strategis</w:t>
            </w:r>
            <w:r>
              <w:t xml:space="preserve">che Entscheidung, ob Sie Ihren </w:t>
            </w:r>
            <w:r w:rsidRPr="00E90CBD">
              <w:t xml:space="preserve">Kunden eine integrierte Rechnung </w:t>
            </w:r>
            <w:r>
              <w:t>anbieten werden</w:t>
            </w:r>
            <w:r w:rsidRPr="00E90CBD">
              <w:t>.</w:t>
            </w:r>
          </w:p>
        </w:tc>
      </w:tr>
      <w:tr w:rsidR="003603DA" w:rsidRPr="00E90CBD" w14:paraId="4C21EFCF" w14:textId="77777777" w:rsidTr="00744141">
        <w:trPr>
          <w:trHeight w:val="510"/>
        </w:trPr>
        <w:tc>
          <w:tcPr>
            <w:tcW w:w="9159" w:type="dxa"/>
            <w:tcBorders>
              <w:top w:val="nil"/>
              <w:left w:val="single" w:sz="4" w:space="0" w:color="FFFFFF"/>
              <w:bottom w:val="single" w:sz="4" w:space="0" w:color="FFFFFF"/>
              <w:right w:val="single" w:sz="4" w:space="0" w:color="FFFFFF"/>
            </w:tcBorders>
            <w:shd w:val="clear" w:color="000000" w:fill="DAE6F2"/>
            <w:vAlign w:val="center"/>
            <w:hideMark/>
          </w:tcPr>
          <w:p w14:paraId="3D62C37F" w14:textId="5BCCABF0" w:rsidR="003603DA" w:rsidRPr="00E90CBD" w:rsidRDefault="003603DA" w:rsidP="00C11108">
            <w:pPr>
              <w:pStyle w:val="Listenabsatz"/>
              <w:spacing w:line="276" w:lineRule="auto"/>
            </w:pPr>
            <w:r>
              <w:t xml:space="preserve">Abschluss von </w:t>
            </w:r>
            <w:r w:rsidRPr="0001041E">
              <w:t>Rahmenvereinbarung</w:t>
            </w:r>
            <w:r>
              <w:t>en</w:t>
            </w:r>
            <w:r w:rsidRPr="0001041E">
              <w:t xml:space="preserve"> über die umsatzsteuerliche Behandlung von Leistungen aus Netzzugangsverträgen</w:t>
            </w:r>
            <w:r>
              <w:t xml:space="preserve"> mit den zuständigen Netzbetreibern</w:t>
            </w:r>
          </w:p>
        </w:tc>
      </w:tr>
      <w:tr w:rsidR="003603DA" w:rsidRPr="00E90CBD" w14:paraId="02366F67" w14:textId="77777777" w:rsidTr="00744141">
        <w:trPr>
          <w:trHeight w:val="510"/>
        </w:trPr>
        <w:tc>
          <w:tcPr>
            <w:tcW w:w="9159" w:type="dxa"/>
            <w:tcBorders>
              <w:top w:val="nil"/>
              <w:left w:val="single" w:sz="4" w:space="0" w:color="FFFFFF"/>
              <w:bottom w:val="single" w:sz="4" w:space="0" w:color="FFFFFF"/>
              <w:right w:val="single" w:sz="4" w:space="0" w:color="FFFFFF"/>
            </w:tcBorders>
            <w:shd w:val="clear" w:color="000000" w:fill="BDD1E7"/>
            <w:vAlign w:val="center"/>
            <w:hideMark/>
          </w:tcPr>
          <w:p w14:paraId="4CF9B70F" w14:textId="1122B7A7" w:rsidR="003603DA" w:rsidRPr="00E90CBD" w:rsidRDefault="00C453F3" w:rsidP="00C11108">
            <w:pPr>
              <w:pStyle w:val="Listenabsatz"/>
              <w:spacing w:line="276" w:lineRule="auto"/>
            </w:pPr>
            <w:r>
              <w:t>Umsetzung des Prozesses, der Formate und Datenübertragung</w:t>
            </w:r>
            <w:r w:rsidRPr="00E90CBD">
              <w:t xml:space="preserve"> </w:t>
            </w:r>
            <w:r>
              <w:t xml:space="preserve">gem. Technischer Dokumentation </w:t>
            </w:r>
            <w:r w:rsidRPr="0001041E">
              <w:t xml:space="preserve">„Elektronischer Rechnungsdatenaustausch Netzbetreiber-Lieferant“ </w:t>
            </w:r>
            <w:r>
              <w:t xml:space="preserve">auf </w:t>
            </w:r>
            <w:hyperlink r:id="rId99" w:history="1">
              <w:r w:rsidRPr="007E4791">
                <w:rPr>
                  <w:rStyle w:val="Hyperlink"/>
                </w:rPr>
                <w:t>www.ebutilities.at</w:t>
              </w:r>
            </w:hyperlink>
            <w:r w:rsidR="003603DA">
              <w:rPr>
                <w:rFonts w:eastAsia="Symbol"/>
              </w:rPr>
              <w:t xml:space="preserve"> </w:t>
            </w:r>
          </w:p>
        </w:tc>
      </w:tr>
      <w:tr w:rsidR="003603DA" w:rsidRPr="00E90CBD" w14:paraId="7ED4BA12" w14:textId="77777777" w:rsidTr="00744141">
        <w:trPr>
          <w:trHeight w:val="765"/>
        </w:trPr>
        <w:tc>
          <w:tcPr>
            <w:tcW w:w="9159" w:type="dxa"/>
            <w:tcBorders>
              <w:top w:val="single" w:sz="4" w:space="0" w:color="FFFFFF"/>
              <w:left w:val="single" w:sz="4" w:space="0" w:color="FFFFFF"/>
              <w:bottom w:val="single" w:sz="4" w:space="0" w:color="FFFFFF"/>
              <w:right w:val="single" w:sz="4" w:space="0" w:color="FFFFFF"/>
            </w:tcBorders>
            <w:shd w:val="clear" w:color="000000" w:fill="B8CCE4" w:themeFill="accent1" w:themeFillTint="66"/>
            <w:vAlign w:val="center"/>
          </w:tcPr>
          <w:p w14:paraId="7D5C8361" w14:textId="77777777" w:rsidR="003603DA" w:rsidRDefault="003603DA" w:rsidP="00DB257C">
            <w:pPr>
              <w:pStyle w:val="Listenabsatz"/>
              <w:spacing w:line="276" w:lineRule="auto"/>
            </w:pPr>
            <w:r>
              <w:t>Abschluss von Zusatzvereinbarungen im Datenaustauschvertrag</w:t>
            </w:r>
          </w:p>
        </w:tc>
      </w:tr>
      <w:tr w:rsidR="003603DA" w:rsidRPr="00900DF9" w14:paraId="78E6CF9E" w14:textId="77777777" w:rsidTr="00744141">
        <w:trPr>
          <w:trHeight w:val="255"/>
        </w:trPr>
        <w:tc>
          <w:tcPr>
            <w:tcW w:w="9159" w:type="dxa"/>
            <w:tcBorders>
              <w:top w:val="single" w:sz="4" w:space="0" w:color="FFFFFF"/>
              <w:left w:val="single" w:sz="4" w:space="0" w:color="FFFFFF"/>
              <w:bottom w:val="single" w:sz="4" w:space="0" w:color="FFFFFF"/>
              <w:right w:val="single" w:sz="4" w:space="0" w:color="FFFFFF"/>
            </w:tcBorders>
            <w:shd w:val="clear" w:color="000000" w:fill="DBE5F1" w:themeFill="accent1" w:themeFillTint="33"/>
            <w:vAlign w:val="center"/>
            <w:hideMark/>
          </w:tcPr>
          <w:p w14:paraId="41F32DBD" w14:textId="77777777" w:rsidR="003603DA" w:rsidRPr="00115D85" w:rsidRDefault="003603DA" w:rsidP="00DB257C">
            <w:pPr>
              <w:pStyle w:val="Listenabsatz"/>
              <w:spacing w:line="276" w:lineRule="auto"/>
            </w:pPr>
            <w:r w:rsidRPr="00115D85">
              <w:t>Einrichtung im System des Netzbetreibers</w:t>
            </w:r>
          </w:p>
        </w:tc>
      </w:tr>
      <w:tr w:rsidR="003603DA" w:rsidRPr="00D84ECA" w14:paraId="3692C47F" w14:textId="77777777" w:rsidTr="00744141">
        <w:trPr>
          <w:trHeight w:val="255"/>
        </w:trPr>
        <w:tc>
          <w:tcPr>
            <w:tcW w:w="9159" w:type="dxa"/>
            <w:tcBorders>
              <w:top w:val="nil"/>
              <w:left w:val="single" w:sz="4" w:space="0" w:color="FFFFFF"/>
              <w:bottom w:val="single" w:sz="4" w:space="0" w:color="FFFFFF"/>
              <w:right w:val="single" w:sz="4" w:space="0" w:color="FFFFFF"/>
            </w:tcBorders>
            <w:shd w:val="clear" w:color="000000" w:fill="FFFFFF"/>
            <w:vAlign w:val="center"/>
          </w:tcPr>
          <w:p w14:paraId="49B7D510" w14:textId="7BEC4626" w:rsidR="003603DA" w:rsidRPr="00D84ECA" w:rsidRDefault="003603DA" w:rsidP="001E167A">
            <w:pPr>
              <w:pStyle w:val="Listenabsatz"/>
              <w:spacing w:line="276" w:lineRule="auto"/>
              <w:ind w:left="0"/>
              <w:rPr>
                <w:sz w:val="16"/>
                <w:szCs w:val="16"/>
              </w:rPr>
            </w:pPr>
          </w:p>
        </w:tc>
      </w:tr>
    </w:tbl>
    <w:p w14:paraId="37891946" w14:textId="77777777" w:rsidR="001E167A" w:rsidRDefault="001E167A" w:rsidP="00304E7D">
      <w:pPr>
        <w:ind w:left="708"/>
        <w:rPr>
          <w:b/>
        </w:rPr>
      </w:pPr>
    </w:p>
    <w:p w14:paraId="219B63CE" w14:textId="77777777" w:rsidR="00304E7D" w:rsidRDefault="00304E7D" w:rsidP="007C3459">
      <w:pPr>
        <w:keepNext/>
        <w:ind w:left="709"/>
      </w:pPr>
      <w:r>
        <w:rPr>
          <w:b/>
        </w:rPr>
        <w:t>Tipps und Hinweise</w:t>
      </w:r>
    </w:p>
    <w:p w14:paraId="42087CB1" w14:textId="77777777" w:rsidR="00530468" w:rsidRDefault="00304E7D" w:rsidP="00C545DF">
      <w:r>
        <w:t xml:space="preserve">Zeitaufwand kann je nach der bereits verfügbaren IT-Infrastruktur in Ihrem Unternehmen kürzer oder länger sein. </w:t>
      </w:r>
      <w:r w:rsidR="008C1477" w:rsidRPr="008C1477">
        <w:t>Beachten Sie im Zusammenhang mit dem elektronischen Austausch von Netzrechnungen bitte auch den Punkt</w:t>
      </w:r>
      <w:r w:rsidR="008C1477">
        <w:t xml:space="preserve"> </w:t>
      </w:r>
      <w:r w:rsidR="008C1477">
        <w:fldChar w:fldCharType="begin"/>
      </w:r>
      <w:r w:rsidR="008C1477">
        <w:instrText xml:space="preserve"> REF _Ref470635410 \w \h </w:instrText>
      </w:r>
      <w:r w:rsidR="008C1477">
        <w:fldChar w:fldCharType="separate"/>
      </w:r>
      <w:r w:rsidR="00C453F3">
        <w:t>I)</w:t>
      </w:r>
      <w:r w:rsidR="008C1477">
        <w:fldChar w:fldCharType="end"/>
      </w:r>
      <w:r w:rsidR="008C1477">
        <w:t xml:space="preserve"> </w:t>
      </w:r>
      <w:r w:rsidR="008C1477">
        <w:fldChar w:fldCharType="begin"/>
      </w:r>
      <w:r w:rsidR="008C1477">
        <w:instrText xml:space="preserve"> REF _Ref470635410 \h </w:instrText>
      </w:r>
      <w:r w:rsidR="008C1477">
        <w:fldChar w:fldCharType="separate"/>
      </w:r>
      <w:r w:rsidR="008C1477">
        <w:t xml:space="preserve">Registrierung als Marktpartner auf </w:t>
      </w:r>
      <w:r w:rsidR="008C1477" w:rsidRPr="005F38C2">
        <w:t>www.ebutilities.at</w:t>
      </w:r>
      <w:r w:rsidR="008C1477">
        <w:fldChar w:fldCharType="end"/>
      </w:r>
      <w:r w:rsidR="00C453F3">
        <w:t>.</w:t>
      </w:r>
      <w:r w:rsidR="008C1477">
        <w:t xml:space="preserve"> </w:t>
      </w:r>
      <w:r w:rsidR="00B60EF8">
        <w:t xml:space="preserve">Es wird empfohlen, im Zuge </w:t>
      </w:r>
      <w:r w:rsidR="00872511">
        <w:t>der Versionierung bzw. lfd. Weiterentwicklung der</w:t>
      </w:r>
      <w:r w:rsidR="00C453F3">
        <w:t xml:space="preserve"> </w:t>
      </w:r>
      <w:r w:rsidR="00C453F3" w:rsidRPr="00C70899">
        <w:t>Technischen Dokumentationen auf</w:t>
      </w:r>
      <w:r w:rsidR="00C453F3">
        <w:t xml:space="preserve"> </w:t>
      </w:r>
      <w:hyperlink r:id="rId100" w:history="1">
        <w:r w:rsidR="00C453F3" w:rsidRPr="007E4791">
          <w:rPr>
            <w:rStyle w:val="Hyperlink"/>
          </w:rPr>
          <w:t>www.ebutilities.at</w:t>
        </w:r>
      </w:hyperlink>
      <w:r w:rsidR="00872511">
        <w:t xml:space="preserve"> bzw. bei der Weiterentwicklung der </w:t>
      </w:r>
      <w:r w:rsidR="00B60EF8">
        <w:t>Sonstigen Marktregeln Strom, sich in den Prozess durch Abgabe von Stellungnahmen im Zuge des Konsultationsverfahrens einzubinden.</w:t>
      </w:r>
      <w:r w:rsidR="006C3867">
        <w:t xml:space="preserve"> </w:t>
      </w:r>
    </w:p>
    <w:p w14:paraId="6150935A" w14:textId="3977BFDE" w:rsidR="00B60EF8" w:rsidRDefault="006C3867" w:rsidP="00C545DF">
      <w:r>
        <w:t>Bei allen Änderungen sind alle Marktteilnehmer gemäß den Sonstigen Marktregeln Kap. 5 (</w:t>
      </w:r>
      <w:hyperlink r:id="rId101" w:history="1">
        <w:r w:rsidR="00B1546D" w:rsidRPr="00BA178A">
          <w:rPr>
            <w:rStyle w:val="Hyperlink"/>
          </w:rPr>
          <w:t>https://www.e-control.at/marktteilnehmer/strom/marktregeln/sonstige_marktregeln</w:t>
        </w:r>
      </w:hyperlink>
      <w:r>
        <w:t>) einzubeziehen, je nach Umfang der Änderungen müssen gewisse Regeln und Fristen eingehalten werden, um allen Marktteilnehmern eine effiziente Umsetzung zu ermöglichen. Weiters gibt es das Recht, auch aktiv eigene Anliegen zur Weiterentwicklung einzubringen, diese müssen zwingend behandelt werden und die weitere Vorgehensweise muss begründet werden.</w:t>
      </w:r>
    </w:p>
    <w:p w14:paraId="6B31C267" w14:textId="520381ED" w:rsidR="00304E7D" w:rsidRDefault="00304E7D" w:rsidP="00304E7D"/>
    <w:p w14:paraId="62DC5F2C" w14:textId="77777777" w:rsidR="00C009EC" w:rsidRDefault="00C009EC" w:rsidP="00744141">
      <w:pPr>
        <w:pStyle w:val="berschrift2"/>
        <w:keepNext/>
        <w:keepLines/>
        <w:widowControl/>
        <w:numPr>
          <w:ilvl w:val="0"/>
          <w:numId w:val="24"/>
        </w:numPr>
        <w:overflowPunct/>
        <w:autoSpaceDE/>
        <w:autoSpaceDN/>
        <w:adjustRightInd/>
        <w:spacing w:before="200" w:after="0" w:line="276" w:lineRule="auto"/>
        <w:jc w:val="left"/>
        <w:textAlignment w:val="auto"/>
      </w:pPr>
      <w:bookmarkStart w:id="55" w:name="_Toc508032838"/>
      <w:bookmarkStart w:id="56" w:name="_Toc508089264"/>
      <w:bookmarkStart w:id="57" w:name="_Toc31376452"/>
      <w:bookmarkStart w:id="58" w:name="_Hlk508088504"/>
      <w:r w:rsidRPr="00795131">
        <w:lastRenderedPageBreak/>
        <w:t>Anmeldung zu</w:t>
      </w:r>
      <w:r>
        <w:t>m</w:t>
      </w:r>
      <w:r w:rsidRPr="00795131">
        <w:t xml:space="preserve"> </w:t>
      </w:r>
      <w:r>
        <w:t>Informations- und Konsultations-</w:t>
      </w:r>
      <w:r w:rsidRPr="00795131">
        <w:t>Verteiler der E-Control</w:t>
      </w:r>
      <w:bookmarkEnd w:id="55"/>
      <w:bookmarkEnd w:id="56"/>
      <w:bookmarkEnd w:id="57"/>
    </w:p>
    <w:p w14:paraId="3B3C0B74" w14:textId="77777777" w:rsidR="00C009EC" w:rsidRDefault="00C009EC" w:rsidP="00744141">
      <w:pPr>
        <w:keepNext/>
        <w:rPr>
          <w:b/>
        </w:rPr>
      </w:pPr>
    </w:p>
    <w:p w14:paraId="09902D45" w14:textId="77777777" w:rsidR="00C009EC" w:rsidRPr="0094296F" w:rsidRDefault="00C009EC" w:rsidP="00744141">
      <w:pPr>
        <w:keepNext/>
        <w:rPr>
          <w:b/>
        </w:rPr>
      </w:pPr>
      <w:r w:rsidRPr="0094296F">
        <w:rPr>
          <w:b/>
        </w:rPr>
        <w:t>Rechtliche Grundlagen</w:t>
      </w:r>
    </w:p>
    <w:p w14:paraId="7B257885" w14:textId="3A34CACD" w:rsidR="00C009EC" w:rsidRDefault="00F26E1C" w:rsidP="00744141">
      <w:pPr>
        <w:keepNext/>
      </w:pPr>
      <w:hyperlink r:id="rId102" w:history="1">
        <w:r w:rsidR="00C009EC" w:rsidRPr="00946E67">
          <w:rPr>
            <w:rStyle w:val="Hyperlink"/>
          </w:rPr>
          <w:t>Datenschutz-Grundverordnung (EU) 2016/679</w:t>
        </w:r>
      </w:hyperlink>
    </w:p>
    <w:p w14:paraId="592AB186" w14:textId="77777777" w:rsidR="00946E67" w:rsidRDefault="00946E67" w:rsidP="00744141">
      <w:pPr>
        <w:keepNext/>
      </w:pPr>
    </w:p>
    <w:p w14:paraId="3966258C" w14:textId="77777777" w:rsidR="00C009EC" w:rsidRPr="0094296F" w:rsidRDefault="00C009EC" w:rsidP="00C009EC">
      <w:pPr>
        <w:rPr>
          <w:b/>
        </w:rPr>
      </w:pPr>
      <w:r w:rsidRPr="0094296F">
        <w:rPr>
          <w:b/>
        </w:rPr>
        <w:t>Kurzbeschreibung</w:t>
      </w:r>
    </w:p>
    <w:p w14:paraId="1EBB3DD5" w14:textId="16476048" w:rsidR="00C009EC" w:rsidRDefault="00C009EC" w:rsidP="00C009EC">
      <w:r w:rsidRPr="007723A0">
        <w:t>Mit de</w:t>
      </w:r>
      <w:r>
        <w:t xml:space="preserve">m </w:t>
      </w:r>
      <w:r w:rsidRPr="002412A0">
        <w:t xml:space="preserve">Informations- und Konsultations-Verteiler </w:t>
      </w:r>
      <w:r>
        <w:t xml:space="preserve">der E-Control </w:t>
      </w:r>
      <w:r w:rsidRPr="007723A0">
        <w:t xml:space="preserve">erhalten Sie die Möglichkeit, aktiv aus dem </w:t>
      </w:r>
      <w:r>
        <w:t>Informations</w:t>
      </w:r>
      <w:r w:rsidRPr="007723A0">
        <w:t xml:space="preserve">-Angebot </w:t>
      </w:r>
      <w:r w:rsidR="00654AD2">
        <w:t xml:space="preserve">der E-Control </w:t>
      </w:r>
      <w:r w:rsidRPr="007723A0">
        <w:t>für die Bereiche Strom und Gas entsprechend Ihrer Interessengebiete auszuwählen und diese unter Angabe Ihre</w:t>
      </w:r>
      <w:r>
        <w:t>r E-Mail-Adresse zu abonnieren.</w:t>
      </w:r>
      <w:r w:rsidR="00654AD2">
        <w:t xml:space="preserve"> In weiterer Folge werden Sie dann beispielsweise bei Konsultationen der E-Control aktiv via </w:t>
      </w:r>
      <w:r w:rsidR="001777C6">
        <w:t>E-Mail</w:t>
      </w:r>
      <w:r w:rsidR="00654AD2">
        <w:t xml:space="preserve"> hierüber informiert.</w:t>
      </w:r>
    </w:p>
    <w:p w14:paraId="103FE348" w14:textId="77777777" w:rsidR="00C009EC" w:rsidRDefault="00C009EC" w:rsidP="00C009EC"/>
    <w:p w14:paraId="7DFEFEE5" w14:textId="77777777" w:rsidR="00C009EC" w:rsidRPr="00736F66" w:rsidRDefault="00C009EC" w:rsidP="00C009EC">
      <w:pPr>
        <w:rPr>
          <w:b/>
        </w:rPr>
      </w:pPr>
      <w:r w:rsidRPr="00736F66">
        <w:rPr>
          <w:b/>
        </w:rPr>
        <w:t>Handlungsanweisung</w:t>
      </w:r>
    </w:p>
    <w:p w14:paraId="3A858ACE" w14:textId="285826E4" w:rsidR="00C009EC" w:rsidRDefault="00C009EC" w:rsidP="00C009EC">
      <w:pPr>
        <w:rPr>
          <w:rStyle w:val="Hyperlink"/>
        </w:rPr>
      </w:pPr>
      <w:r w:rsidRPr="009225D5">
        <w:t xml:space="preserve">Damit Sie auf dem Laufenden bleiben und keine Konsultation der E-Control verpassen, laden wir Sie ein, sich über den folgenden Link auf </w:t>
      </w:r>
      <w:r>
        <w:t>der</w:t>
      </w:r>
      <w:r w:rsidRPr="009225D5">
        <w:t xml:space="preserve"> Website </w:t>
      </w:r>
      <w:r>
        <w:t xml:space="preserve">der E-Control </w:t>
      </w:r>
      <w:r w:rsidRPr="009225D5">
        <w:t>zu registrieren und die Art</w:t>
      </w:r>
      <w:r w:rsidR="001777C6">
        <w:t xml:space="preserve"> </w:t>
      </w:r>
      <w:r w:rsidRPr="009225D5">
        <w:t xml:space="preserve"> der von Ihnen gewünschten Informationen auszuwählen:</w:t>
      </w:r>
      <w:r>
        <w:t xml:space="preserve"> </w:t>
      </w:r>
      <w:hyperlink r:id="rId103" w:history="1">
        <w:r w:rsidRPr="0080298E">
          <w:rPr>
            <w:rStyle w:val="Hyperlink"/>
          </w:rPr>
          <w:t>https://meine.e-control.org/verteilerlisten/</w:t>
        </w:r>
      </w:hyperlink>
    </w:p>
    <w:p w14:paraId="4953C3BC" w14:textId="706DE32C" w:rsidR="00654AD2" w:rsidRDefault="00654AD2" w:rsidP="00654AD2">
      <w:r>
        <w:t xml:space="preserve">Aktuell können Sie sich für Informationen zu folgenden </w:t>
      </w:r>
      <w:r w:rsidR="00B602E8">
        <w:t>Strom</w:t>
      </w:r>
      <w:r>
        <w:t>-relevanten Themen registrieren:</w:t>
      </w:r>
    </w:p>
    <w:p w14:paraId="750F6C89" w14:textId="77777777" w:rsidR="00654AD2" w:rsidRDefault="00654AD2" w:rsidP="00136CBE">
      <w:pPr>
        <w:pStyle w:val="Listenabsatz"/>
        <w:numPr>
          <w:ilvl w:val="0"/>
          <w:numId w:val="32"/>
        </w:numPr>
      </w:pPr>
      <w:r>
        <w:t>Ökostrom</w:t>
      </w:r>
    </w:p>
    <w:p w14:paraId="4EDAA972" w14:textId="0663FF87" w:rsidR="00654AD2" w:rsidRDefault="00654AD2" w:rsidP="00136CBE">
      <w:pPr>
        <w:pStyle w:val="Listenabsatz"/>
        <w:numPr>
          <w:ilvl w:val="0"/>
          <w:numId w:val="32"/>
        </w:numPr>
      </w:pPr>
      <w:r>
        <w:t>Strom Marktregeln und Strom Technische Regeln</w:t>
      </w:r>
    </w:p>
    <w:p w14:paraId="302AE52B" w14:textId="454E8288" w:rsidR="00C009EC" w:rsidRDefault="00654AD2" w:rsidP="00136CBE">
      <w:pPr>
        <w:pStyle w:val="Listenabsatz"/>
        <w:numPr>
          <w:ilvl w:val="0"/>
          <w:numId w:val="32"/>
        </w:numPr>
        <w:spacing w:after="0"/>
        <w:ind w:left="714" w:hanging="357"/>
      </w:pPr>
      <w:r>
        <w:t>Veranstaltungen zu Strom</w:t>
      </w:r>
    </w:p>
    <w:p w14:paraId="6FF286DA" w14:textId="77777777" w:rsidR="00654AD2" w:rsidRDefault="00654AD2"/>
    <w:tbl>
      <w:tblPr>
        <w:tblW w:w="0" w:type="auto"/>
        <w:tblInd w:w="55" w:type="dxa"/>
        <w:tblCellMar>
          <w:left w:w="70" w:type="dxa"/>
          <w:right w:w="70" w:type="dxa"/>
        </w:tblCellMar>
        <w:tblLook w:val="04A0" w:firstRow="1" w:lastRow="0" w:firstColumn="1" w:lastColumn="0" w:noHBand="0" w:noVBand="1"/>
      </w:tblPr>
      <w:tblGrid>
        <w:gridCol w:w="8025"/>
        <w:gridCol w:w="1482"/>
      </w:tblGrid>
      <w:tr w:rsidR="005D721D" w:rsidRPr="0059388E" w14:paraId="79F5AA95" w14:textId="3C2121EF" w:rsidTr="00744141">
        <w:trPr>
          <w:trHeight w:val="255"/>
        </w:trPr>
        <w:tc>
          <w:tcPr>
            <w:tcW w:w="8025" w:type="dxa"/>
            <w:tcBorders>
              <w:top w:val="nil"/>
              <w:left w:val="nil"/>
              <w:bottom w:val="nil"/>
              <w:right w:val="nil"/>
            </w:tcBorders>
            <w:shd w:val="clear" w:color="000000" w:fill="95B3D7"/>
            <w:noWrap/>
            <w:vAlign w:val="center"/>
            <w:hideMark/>
          </w:tcPr>
          <w:p w14:paraId="145AC9A0" w14:textId="7987B59D" w:rsidR="005D721D" w:rsidRPr="0059388E" w:rsidRDefault="005D721D" w:rsidP="00C51DAD">
            <w:pPr>
              <w:pStyle w:val="Listenabsatz"/>
              <w:spacing w:line="276" w:lineRule="auto"/>
              <w:ind w:left="0"/>
              <w:rPr>
                <w:b/>
              </w:rPr>
            </w:pPr>
            <w:r w:rsidRPr="0059388E">
              <w:rPr>
                <w:b/>
              </w:rPr>
              <w:t>Checkliste –</w:t>
            </w:r>
            <w:r>
              <w:rPr>
                <w:b/>
              </w:rPr>
              <w:t xml:space="preserve"> </w:t>
            </w:r>
            <w:r w:rsidRPr="005D721D">
              <w:rPr>
                <w:b/>
              </w:rPr>
              <w:t>Informations- und Konsultations-Verteiler der E-Control</w:t>
            </w:r>
          </w:p>
        </w:tc>
        <w:tc>
          <w:tcPr>
            <w:tcW w:w="1482" w:type="dxa"/>
            <w:tcBorders>
              <w:top w:val="nil"/>
              <w:left w:val="nil"/>
              <w:bottom w:val="nil"/>
              <w:right w:val="nil"/>
            </w:tcBorders>
            <w:shd w:val="clear" w:color="000000" w:fill="95B3D7"/>
          </w:tcPr>
          <w:p w14:paraId="5E1F95AE" w14:textId="77777777" w:rsidR="005D721D" w:rsidRPr="0059388E" w:rsidRDefault="005D721D" w:rsidP="00C51DAD">
            <w:pPr>
              <w:pStyle w:val="Listenabsatz"/>
              <w:spacing w:line="276" w:lineRule="auto"/>
              <w:ind w:left="0"/>
              <w:rPr>
                <w:b/>
              </w:rPr>
            </w:pPr>
          </w:p>
        </w:tc>
      </w:tr>
      <w:tr w:rsidR="005D721D" w:rsidRPr="00124A0B" w14:paraId="28113790" w14:textId="7CBE1577" w:rsidTr="00744141">
        <w:trPr>
          <w:trHeight w:val="255"/>
        </w:trPr>
        <w:tc>
          <w:tcPr>
            <w:tcW w:w="8025" w:type="dxa"/>
            <w:tcBorders>
              <w:top w:val="single" w:sz="4" w:space="0" w:color="FFFFFF"/>
              <w:left w:val="single" w:sz="4" w:space="0" w:color="FFFFFF"/>
              <w:bottom w:val="single" w:sz="4" w:space="0" w:color="FFFFFF"/>
              <w:right w:val="single" w:sz="4" w:space="0" w:color="FFFFFF"/>
            </w:tcBorders>
            <w:shd w:val="clear" w:color="000000" w:fill="BDD1E7"/>
            <w:vAlign w:val="center"/>
            <w:hideMark/>
          </w:tcPr>
          <w:p w14:paraId="609DFD74" w14:textId="70926164" w:rsidR="005D721D" w:rsidRPr="00124A0B" w:rsidRDefault="005D721D" w:rsidP="00C51DAD">
            <w:pPr>
              <w:pStyle w:val="Listenabsatz"/>
              <w:spacing w:line="276" w:lineRule="auto"/>
            </w:pPr>
            <w:r>
              <w:rPr>
                <w:rFonts w:cstheme="minorHAnsi"/>
              </w:rPr>
              <w:t xml:space="preserve">Registrierung auf </w:t>
            </w:r>
            <w:hyperlink r:id="rId104" w:history="1">
              <w:r w:rsidRPr="0080298E">
                <w:rPr>
                  <w:rStyle w:val="Hyperlink"/>
                  <w:rFonts w:cstheme="minorHAnsi"/>
                </w:rPr>
                <w:t>https://meine.e-control.org/verteilerlisten/</w:t>
              </w:r>
            </w:hyperlink>
            <w:r>
              <w:rPr>
                <w:rFonts w:cstheme="minorHAnsi"/>
              </w:rPr>
              <w:t xml:space="preserve"> und Auswahl der gewünschten Informationen</w:t>
            </w:r>
            <w:r>
              <w:t xml:space="preserve"> </w:t>
            </w:r>
          </w:p>
        </w:tc>
        <w:tc>
          <w:tcPr>
            <w:tcW w:w="1482" w:type="dxa"/>
            <w:tcBorders>
              <w:top w:val="single" w:sz="4" w:space="0" w:color="FFFFFF"/>
              <w:left w:val="single" w:sz="4" w:space="0" w:color="FFFFFF"/>
              <w:bottom w:val="single" w:sz="4" w:space="0" w:color="FFFFFF"/>
              <w:right w:val="single" w:sz="4" w:space="0" w:color="FFFFFF"/>
            </w:tcBorders>
            <w:shd w:val="clear" w:color="000000" w:fill="BDD1E7"/>
          </w:tcPr>
          <w:p w14:paraId="234A6D98" w14:textId="6BADBE9B" w:rsidR="005D721D" w:rsidRDefault="005D721D" w:rsidP="00C51DAD">
            <w:pPr>
              <w:pStyle w:val="Listenabsatz"/>
              <w:spacing w:line="276" w:lineRule="auto"/>
            </w:pPr>
            <w:r>
              <w:t>5 min</w:t>
            </w:r>
          </w:p>
        </w:tc>
      </w:tr>
    </w:tbl>
    <w:p w14:paraId="02C26079" w14:textId="77777777" w:rsidR="005D721D" w:rsidRDefault="005D721D" w:rsidP="00C009EC"/>
    <w:p w14:paraId="6F14597B" w14:textId="77777777" w:rsidR="00C009EC" w:rsidRDefault="00C009EC" w:rsidP="00C009EC">
      <w:pPr>
        <w:keepNext/>
      </w:pPr>
      <w:r>
        <w:rPr>
          <w:b/>
        </w:rPr>
        <w:t>Tipps und Hinweise</w:t>
      </w:r>
      <w:r>
        <w:t>:</w:t>
      </w:r>
    </w:p>
    <w:p w14:paraId="7AB9A5C3" w14:textId="30764F78" w:rsidR="00C009EC" w:rsidRDefault="00FB4CA8" w:rsidP="00C009EC">
      <w:pPr>
        <w:keepNext/>
      </w:pPr>
      <w:r>
        <w:t xml:space="preserve">Aufgrund der </w:t>
      </w:r>
      <w:r w:rsidR="00507C7F">
        <w:t xml:space="preserve">Bestimmungen aus der </w:t>
      </w:r>
      <w:r>
        <w:t>Datenschutz-Grundverordnung können</w:t>
      </w:r>
      <w:r w:rsidR="00C009EC">
        <w:t xml:space="preserve"> </w:t>
      </w:r>
      <w:r>
        <w:t xml:space="preserve">nur </w:t>
      </w:r>
      <w:r w:rsidR="00C009EC">
        <w:t xml:space="preserve">mehr jene Personen Informationen </w:t>
      </w:r>
      <w:r>
        <w:t xml:space="preserve">der E-Control erhalten und so auch gesichert an </w:t>
      </w:r>
      <w:r w:rsidR="00C009EC">
        <w:t>Konsultationen teilnehmen, die über den oben genannten Link ausdrücklich ihr Interesse bekundet haben.</w:t>
      </w:r>
    </w:p>
    <w:p w14:paraId="475D6197" w14:textId="77777777" w:rsidR="00B60EF8" w:rsidRDefault="00B60EF8" w:rsidP="0000091E">
      <w:bookmarkStart w:id="59" w:name="_Toc353353909"/>
      <w:bookmarkEnd w:id="58"/>
    </w:p>
    <w:p w14:paraId="6475AE07" w14:textId="77777777" w:rsidR="00692270" w:rsidRDefault="003C185F" w:rsidP="00744141">
      <w:pPr>
        <w:pStyle w:val="berschrift2"/>
        <w:keepNext/>
        <w:keepLines/>
        <w:widowControl/>
        <w:numPr>
          <w:ilvl w:val="0"/>
          <w:numId w:val="24"/>
        </w:numPr>
        <w:overflowPunct/>
        <w:autoSpaceDE/>
        <w:autoSpaceDN/>
        <w:adjustRightInd/>
        <w:spacing w:before="200" w:after="0" w:line="276" w:lineRule="auto"/>
        <w:jc w:val="left"/>
        <w:textAlignment w:val="auto"/>
      </w:pPr>
      <w:bookmarkStart w:id="60" w:name="_Toc31376453"/>
      <w:bookmarkStart w:id="61" w:name="_Toc379201264"/>
      <w:bookmarkStart w:id="62" w:name="_Toc361335701"/>
      <w:r>
        <w:t>OeMAG – Abwicklungsstelle für Ökostrom</w:t>
      </w:r>
      <w:r w:rsidR="00E65ADD">
        <w:t xml:space="preserve"> </w:t>
      </w:r>
      <w:r w:rsidR="00692270">
        <w:t>– Kontrahierung</w:t>
      </w:r>
      <w:bookmarkEnd w:id="60"/>
    </w:p>
    <w:p w14:paraId="11A22A06" w14:textId="77777777" w:rsidR="00692270" w:rsidRDefault="00692270" w:rsidP="00955CF5">
      <w:pPr>
        <w:keepNext/>
        <w:rPr>
          <w:lang w:val="de-DE"/>
        </w:rPr>
      </w:pPr>
    </w:p>
    <w:p w14:paraId="1532D5BD" w14:textId="77777777" w:rsidR="007A3777" w:rsidRPr="00EF5725" w:rsidRDefault="007A3777" w:rsidP="00955CF5">
      <w:pPr>
        <w:keepNext/>
        <w:rPr>
          <w:b/>
        </w:rPr>
      </w:pPr>
      <w:r w:rsidRPr="00EF5725">
        <w:rPr>
          <w:b/>
        </w:rPr>
        <w:t>Rechtliche Grundlage</w:t>
      </w:r>
    </w:p>
    <w:p w14:paraId="5A3E77EB" w14:textId="77777777" w:rsidR="00F9655D" w:rsidRDefault="00F26E1C" w:rsidP="00955CF5">
      <w:pPr>
        <w:keepNext/>
      </w:pPr>
      <w:hyperlink r:id="rId105" w:history="1">
        <w:r w:rsidR="00F9655D" w:rsidRPr="001C2EF3">
          <w:rPr>
            <w:rStyle w:val="Hyperlink"/>
          </w:rPr>
          <w:t xml:space="preserve">§ 37 </w:t>
        </w:r>
        <w:proofErr w:type="spellStart"/>
        <w:r w:rsidR="00F9655D" w:rsidRPr="001C2EF3">
          <w:rPr>
            <w:rStyle w:val="Hyperlink"/>
          </w:rPr>
          <w:t>ÖkostromG</w:t>
        </w:r>
        <w:proofErr w:type="spellEnd"/>
      </w:hyperlink>
      <w:r w:rsidR="00F9655D" w:rsidRPr="000145A4">
        <w:t xml:space="preserve"> </w:t>
      </w:r>
    </w:p>
    <w:p w14:paraId="298B5E6B" w14:textId="77777777" w:rsidR="007A3777" w:rsidRDefault="00F26E1C" w:rsidP="007A3777">
      <w:hyperlink r:id="rId106" w:history="1">
        <w:r w:rsidR="007A3777" w:rsidRPr="00F9655D">
          <w:rPr>
            <w:rStyle w:val="Hyperlink"/>
          </w:rPr>
          <w:t xml:space="preserve">§ </w:t>
        </w:r>
        <w:r w:rsidR="00F34CE8" w:rsidRPr="00F9655D">
          <w:rPr>
            <w:rStyle w:val="Hyperlink"/>
          </w:rPr>
          <w:t>40</w:t>
        </w:r>
        <w:r w:rsidR="007A3777" w:rsidRPr="00F9655D">
          <w:rPr>
            <w:rStyle w:val="Hyperlink"/>
          </w:rPr>
          <w:t xml:space="preserve"> </w:t>
        </w:r>
        <w:proofErr w:type="spellStart"/>
        <w:r w:rsidR="007A3777" w:rsidRPr="00F9655D">
          <w:rPr>
            <w:rStyle w:val="Hyperlink"/>
          </w:rPr>
          <w:t>ÖkostromG</w:t>
        </w:r>
        <w:proofErr w:type="spellEnd"/>
        <w:r w:rsidR="00F34CE8" w:rsidRPr="00F9655D">
          <w:rPr>
            <w:rStyle w:val="Hyperlink"/>
          </w:rPr>
          <w:t xml:space="preserve"> </w:t>
        </w:r>
      </w:hyperlink>
    </w:p>
    <w:p w14:paraId="62B205DC" w14:textId="77777777" w:rsidR="007A3777" w:rsidRPr="00096B6B" w:rsidRDefault="00F26E1C" w:rsidP="00096B6B">
      <w:hyperlink r:id="rId107" w:anchor="p_p_id_56_INSTANCE_33LpLeJltkOX_" w:history="1">
        <w:r w:rsidR="00096B6B" w:rsidRPr="00F34CE8">
          <w:rPr>
            <w:rStyle w:val="Hyperlink"/>
          </w:rPr>
          <w:t>Allgemeine Bedingungen der Ökostromabwicklungsstelle (AB-ÖKO)</w:t>
        </w:r>
      </w:hyperlink>
    </w:p>
    <w:p w14:paraId="6297C4B4" w14:textId="77777777" w:rsidR="00F34CE8" w:rsidRDefault="00F34CE8" w:rsidP="007A3777">
      <w:pPr>
        <w:rPr>
          <w:b/>
        </w:rPr>
      </w:pPr>
    </w:p>
    <w:p w14:paraId="736209ED" w14:textId="77777777" w:rsidR="007A3777" w:rsidRPr="00EF5725" w:rsidRDefault="007A3777" w:rsidP="007A3777">
      <w:pPr>
        <w:rPr>
          <w:b/>
        </w:rPr>
      </w:pPr>
      <w:r w:rsidRPr="00EF5725">
        <w:rPr>
          <w:b/>
        </w:rPr>
        <w:lastRenderedPageBreak/>
        <w:t>Kurzbeschreibung</w:t>
      </w:r>
    </w:p>
    <w:p w14:paraId="1323AF74" w14:textId="77777777" w:rsidR="003C185F" w:rsidRDefault="00E65ADD" w:rsidP="007A3777">
      <w:pPr>
        <w:rPr>
          <w:lang w:val="de-DE"/>
        </w:rPr>
      </w:pPr>
      <w:r>
        <w:rPr>
          <w:lang w:val="de-DE"/>
        </w:rPr>
        <w:t xml:space="preserve">Im </w:t>
      </w:r>
      <w:r w:rsidR="007A3777" w:rsidRPr="007A3777">
        <w:rPr>
          <w:lang w:val="de-DE"/>
        </w:rPr>
        <w:t>Sy</w:t>
      </w:r>
      <w:r w:rsidR="007A3777">
        <w:rPr>
          <w:lang w:val="de-DE"/>
        </w:rPr>
        <w:t xml:space="preserve">stem der Ökostromförderung </w:t>
      </w:r>
      <w:r>
        <w:rPr>
          <w:lang w:val="de-DE"/>
        </w:rPr>
        <w:t xml:space="preserve">ist </w:t>
      </w:r>
      <w:r w:rsidR="007A3777">
        <w:rPr>
          <w:lang w:val="de-DE"/>
        </w:rPr>
        <w:t xml:space="preserve">die </w:t>
      </w:r>
      <w:r w:rsidR="007A3777" w:rsidRPr="007A3777">
        <w:rPr>
          <w:lang w:val="de-DE"/>
        </w:rPr>
        <w:t>Ökostromabwicklungsstelle</w:t>
      </w:r>
      <w:r w:rsidR="007A3777">
        <w:rPr>
          <w:lang w:val="de-DE"/>
        </w:rPr>
        <w:t xml:space="preserve"> (</w:t>
      </w:r>
      <w:proofErr w:type="spellStart"/>
      <w:r w:rsidR="007A3777">
        <w:rPr>
          <w:lang w:val="de-DE"/>
        </w:rPr>
        <w:t>OeMAG</w:t>
      </w:r>
      <w:proofErr w:type="spellEnd"/>
      <w:r w:rsidR="007A3777">
        <w:rPr>
          <w:lang w:val="de-DE"/>
        </w:rPr>
        <w:t>)</w:t>
      </w:r>
      <w:r w:rsidR="002B76B6">
        <w:rPr>
          <w:lang w:val="de-DE"/>
        </w:rPr>
        <w:t xml:space="preserve"> </w:t>
      </w:r>
      <w:r w:rsidR="007A3777">
        <w:rPr>
          <w:lang w:val="de-DE"/>
        </w:rPr>
        <w:t xml:space="preserve">als zentrale </w:t>
      </w:r>
      <w:r w:rsidR="002B76B6">
        <w:rPr>
          <w:lang w:val="de-DE"/>
        </w:rPr>
        <w:t>An</w:t>
      </w:r>
      <w:r w:rsidR="009958BA">
        <w:rPr>
          <w:lang w:val="de-DE"/>
        </w:rPr>
        <w:t>nahme</w:t>
      </w:r>
      <w:r w:rsidR="00096B6B">
        <w:rPr>
          <w:lang w:val="de-DE"/>
        </w:rPr>
        <w:t>-</w:t>
      </w:r>
      <w:r w:rsidR="002B76B6">
        <w:rPr>
          <w:lang w:val="de-DE"/>
        </w:rPr>
        <w:t xml:space="preserve"> und </w:t>
      </w:r>
      <w:r w:rsidR="007A3777">
        <w:rPr>
          <w:lang w:val="de-DE"/>
        </w:rPr>
        <w:t>Zuweisung</w:t>
      </w:r>
      <w:r w:rsidR="00096B6B">
        <w:rPr>
          <w:lang w:val="de-DE"/>
        </w:rPr>
        <w:t xml:space="preserve">sstelle </w:t>
      </w:r>
      <w:r w:rsidR="00F9655D">
        <w:rPr>
          <w:lang w:val="de-DE"/>
        </w:rPr>
        <w:t>für geförderten Ökostrom vor</w:t>
      </w:r>
      <w:r>
        <w:rPr>
          <w:lang w:val="de-DE"/>
        </w:rPr>
        <w:t>gesehen</w:t>
      </w:r>
      <w:r w:rsidR="007A3777">
        <w:rPr>
          <w:lang w:val="de-DE"/>
        </w:rPr>
        <w:t xml:space="preserve">. </w:t>
      </w:r>
      <w:r w:rsidR="00F34CE8">
        <w:rPr>
          <w:lang w:val="de-DE"/>
        </w:rPr>
        <w:t>Gemäß</w:t>
      </w:r>
      <w:r w:rsidR="009958BA">
        <w:rPr>
          <w:lang w:val="de-DE"/>
        </w:rPr>
        <w:t xml:space="preserve"> </w:t>
      </w:r>
      <w:r w:rsidR="00083BCD">
        <w:rPr>
          <w:lang w:val="de-DE"/>
        </w:rPr>
        <w:t xml:space="preserve">§ 37 </w:t>
      </w:r>
      <w:r w:rsidR="009958BA">
        <w:rPr>
          <w:lang w:val="de-DE"/>
        </w:rPr>
        <w:t>Ökostromgesetz wird jedem Stromhändler, der End</w:t>
      </w:r>
      <w:r w:rsidR="00F9655D">
        <w:rPr>
          <w:lang w:val="de-DE"/>
        </w:rPr>
        <w:t>verbraucher</w:t>
      </w:r>
      <w:r w:rsidR="009958BA">
        <w:rPr>
          <w:lang w:val="de-DE"/>
        </w:rPr>
        <w:t xml:space="preserve"> beliefert, </w:t>
      </w:r>
      <w:proofErr w:type="spellStart"/>
      <w:r w:rsidR="009958BA">
        <w:rPr>
          <w:lang w:val="de-DE"/>
        </w:rPr>
        <w:t>dh</w:t>
      </w:r>
      <w:proofErr w:type="spellEnd"/>
      <w:r w:rsidR="009958BA">
        <w:rPr>
          <w:lang w:val="de-DE"/>
        </w:rPr>
        <w:t xml:space="preserve">. jedem Lieferanten, eine Quote an gefördertem Ökostrom zugewiesen. </w:t>
      </w:r>
      <w:r w:rsidR="003C185F">
        <w:rPr>
          <w:lang w:val="de-DE"/>
        </w:rPr>
        <w:t xml:space="preserve">Der </w:t>
      </w:r>
      <w:r w:rsidR="002B76B6">
        <w:rPr>
          <w:lang w:val="de-DE"/>
        </w:rPr>
        <w:t xml:space="preserve">geförderte </w:t>
      </w:r>
      <w:r w:rsidR="007A3777" w:rsidRPr="007A3777">
        <w:rPr>
          <w:lang w:val="de-DE"/>
        </w:rPr>
        <w:t xml:space="preserve">Ökostrom </w:t>
      </w:r>
      <w:r w:rsidR="003C185F">
        <w:rPr>
          <w:lang w:val="de-DE"/>
        </w:rPr>
        <w:t xml:space="preserve">wird </w:t>
      </w:r>
      <w:r>
        <w:rPr>
          <w:lang w:val="de-DE"/>
        </w:rPr>
        <w:t xml:space="preserve">Ihnen als </w:t>
      </w:r>
      <w:r w:rsidR="00F9655D">
        <w:rPr>
          <w:lang w:val="de-DE"/>
        </w:rPr>
        <w:t>L</w:t>
      </w:r>
      <w:r>
        <w:rPr>
          <w:lang w:val="de-DE"/>
        </w:rPr>
        <w:t xml:space="preserve">ieferant </w:t>
      </w:r>
      <w:r w:rsidR="007A3777" w:rsidRPr="007A3777">
        <w:rPr>
          <w:lang w:val="de-DE"/>
        </w:rPr>
        <w:t xml:space="preserve">von der </w:t>
      </w:r>
      <w:proofErr w:type="spellStart"/>
      <w:r w:rsidR="007A3777" w:rsidRPr="007A3777">
        <w:rPr>
          <w:lang w:val="de-DE"/>
        </w:rPr>
        <w:t>OeMAG</w:t>
      </w:r>
      <w:proofErr w:type="spellEnd"/>
      <w:r w:rsidR="007A3777" w:rsidRPr="007A3777">
        <w:rPr>
          <w:lang w:val="de-DE"/>
        </w:rPr>
        <w:t xml:space="preserve"> </w:t>
      </w:r>
      <w:r w:rsidR="00F9655D">
        <w:rPr>
          <w:lang w:val="de-DE"/>
        </w:rPr>
        <w:t>anhand der</w:t>
      </w:r>
      <w:r w:rsidR="002B76B6">
        <w:rPr>
          <w:lang w:val="de-DE"/>
        </w:rPr>
        <w:t xml:space="preserve"> Marktanteile</w:t>
      </w:r>
      <w:r w:rsidR="003C185F">
        <w:rPr>
          <w:lang w:val="de-DE"/>
        </w:rPr>
        <w:t xml:space="preserve"> (monatliche </w:t>
      </w:r>
      <w:r w:rsidR="00EE552A">
        <w:rPr>
          <w:lang w:val="de-DE"/>
        </w:rPr>
        <w:t>Abnahmeq</w:t>
      </w:r>
      <w:r w:rsidR="003C185F">
        <w:rPr>
          <w:lang w:val="de-DE"/>
        </w:rPr>
        <w:t>uote)</w:t>
      </w:r>
      <w:r w:rsidR="00F9655D">
        <w:rPr>
          <w:lang w:val="de-DE"/>
        </w:rPr>
        <w:t xml:space="preserve">, sowie der </w:t>
      </w:r>
      <w:r w:rsidR="003C185F">
        <w:rPr>
          <w:lang w:val="de-DE"/>
        </w:rPr>
        <w:t>prognostizieren Ökostromm</w:t>
      </w:r>
      <w:r w:rsidR="00F9655D">
        <w:rPr>
          <w:lang w:val="de-DE"/>
        </w:rPr>
        <w:t xml:space="preserve">enge </w:t>
      </w:r>
      <w:r w:rsidR="003C185F">
        <w:rPr>
          <w:lang w:val="de-DE"/>
        </w:rPr>
        <w:t>(</w:t>
      </w:r>
      <w:proofErr w:type="spellStart"/>
      <w:r w:rsidR="003C185F">
        <w:rPr>
          <w:lang w:val="de-DE"/>
        </w:rPr>
        <w:t>day</w:t>
      </w:r>
      <w:proofErr w:type="spellEnd"/>
      <w:r w:rsidR="003C185F">
        <w:rPr>
          <w:lang w:val="de-DE"/>
        </w:rPr>
        <w:t>-</w:t>
      </w:r>
      <w:proofErr w:type="spellStart"/>
      <w:r w:rsidR="003C185F">
        <w:rPr>
          <w:lang w:val="de-DE"/>
        </w:rPr>
        <w:t>ahead</w:t>
      </w:r>
      <w:proofErr w:type="spellEnd"/>
      <w:r w:rsidR="003C185F">
        <w:rPr>
          <w:lang w:val="de-DE"/>
        </w:rPr>
        <w:t xml:space="preserve">-Prognose) täglich zugewiesen. Die Zuweisungsfahrpläne gehen </w:t>
      </w:r>
      <w:r w:rsidR="00EE552A">
        <w:rPr>
          <w:lang w:val="de-DE"/>
        </w:rPr>
        <w:t xml:space="preserve">bis 10 Uhr des Vortages </w:t>
      </w:r>
      <w:r w:rsidR="003C185F">
        <w:rPr>
          <w:lang w:val="de-DE"/>
        </w:rPr>
        <w:t xml:space="preserve">an die BGV </w:t>
      </w:r>
      <w:r w:rsidR="00E44A42">
        <w:rPr>
          <w:lang w:val="de-DE"/>
        </w:rPr>
        <w:t xml:space="preserve">und enthalten die Summe der </w:t>
      </w:r>
      <w:r w:rsidR="00EE552A">
        <w:rPr>
          <w:lang w:val="de-DE"/>
        </w:rPr>
        <w:t xml:space="preserve">zwischen der Öko-BG und der jeweiligen BG auszutauschenden Energiemenge </w:t>
      </w:r>
      <w:r w:rsidR="003C185F">
        <w:rPr>
          <w:lang w:val="de-DE"/>
        </w:rPr>
        <w:t>(BG-Fahrpläne</w:t>
      </w:r>
      <w:r w:rsidR="00EE552A">
        <w:rPr>
          <w:lang w:val="de-DE"/>
        </w:rPr>
        <w:t>)</w:t>
      </w:r>
      <w:r w:rsidR="003C185F">
        <w:rPr>
          <w:lang w:val="de-DE"/>
        </w:rPr>
        <w:t xml:space="preserve"> und </w:t>
      </w:r>
      <w:r w:rsidR="00EE552A">
        <w:rPr>
          <w:lang w:val="de-DE"/>
        </w:rPr>
        <w:t>den Mengen je Lieferant (</w:t>
      </w:r>
      <w:r w:rsidR="003C185F">
        <w:rPr>
          <w:lang w:val="de-DE"/>
        </w:rPr>
        <w:t>LF-Fahrpläne).</w:t>
      </w:r>
    </w:p>
    <w:p w14:paraId="5B0EAD69" w14:textId="77777777" w:rsidR="001378E0" w:rsidRDefault="001378E0" w:rsidP="007A3777">
      <w:pPr>
        <w:rPr>
          <w:lang w:val="de-DE"/>
        </w:rPr>
      </w:pPr>
    </w:p>
    <w:p w14:paraId="5D1F7ECB" w14:textId="77777777" w:rsidR="001378E0" w:rsidRDefault="00E44A42" w:rsidP="007A3777">
      <w:pPr>
        <w:rPr>
          <w:lang w:val="de-DE"/>
        </w:rPr>
      </w:pPr>
      <w:r>
        <w:rPr>
          <w:lang w:val="de-DE"/>
        </w:rPr>
        <w:t xml:space="preserve">Die </w:t>
      </w:r>
      <w:r w:rsidR="00EE552A">
        <w:rPr>
          <w:lang w:val="de-DE"/>
        </w:rPr>
        <w:t xml:space="preserve">Abnahmequote wird </w:t>
      </w:r>
      <w:r w:rsidR="001A1C93">
        <w:rPr>
          <w:lang w:val="de-DE"/>
        </w:rPr>
        <w:t xml:space="preserve">jeden Monat </w:t>
      </w:r>
      <w:r w:rsidR="00EE552A">
        <w:rPr>
          <w:lang w:val="de-DE"/>
        </w:rPr>
        <w:t>auf Basis der 3 Monate zurück liegenden Verbrauchswertes (Endkundenabgabemenge</w:t>
      </w:r>
      <w:r w:rsidR="001A1C93">
        <w:rPr>
          <w:lang w:val="de-DE"/>
        </w:rPr>
        <w:t xml:space="preserve"> auf österreichischem Staatsgebiet</w:t>
      </w:r>
      <w:r w:rsidR="00EE552A">
        <w:rPr>
          <w:lang w:val="de-DE"/>
        </w:rPr>
        <w:t xml:space="preserve">) ermittelt. Dementsprechend haben die Abnahmequoten auch bei Markteintritt oder </w:t>
      </w:r>
      <w:r w:rsidR="00427A47">
        <w:rPr>
          <w:lang w:val="de-DE"/>
        </w:rPr>
        <w:t>-</w:t>
      </w:r>
      <w:r w:rsidR="00EE552A">
        <w:rPr>
          <w:lang w:val="de-DE"/>
        </w:rPr>
        <w:t>austritt</w:t>
      </w:r>
      <w:r w:rsidR="001378E0">
        <w:rPr>
          <w:lang w:val="de-DE"/>
        </w:rPr>
        <w:t>,</w:t>
      </w:r>
      <w:r w:rsidR="00EE552A">
        <w:rPr>
          <w:lang w:val="de-DE"/>
        </w:rPr>
        <w:t xml:space="preserve"> sowie bei Änderungen der Abgabemengen einen Zeitverzug</w:t>
      </w:r>
      <w:r w:rsidR="001378E0">
        <w:rPr>
          <w:lang w:val="de-DE"/>
        </w:rPr>
        <w:t>.</w:t>
      </w:r>
      <w:r w:rsidR="00EE552A">
        <w:rPr>
          <w:lang w:val="de-DE"/>
        </w:rPr>
        <w:t xml:space="preserve"> </w:t>
      </w:r>
      <w:r w:rsidR="001A1C93">
        <w:rPr>
          <w:lang w:val="de-DE"/>
        </w:rPr>
        <w:t>In die Ermittlung der Abnahmequoten ist jeder Stromhändler im Wege eine</w:t>
      </w:r>
      <w:r w:rsidR="001378E0">
        <w:rPr>
          <w:lang w:val="de-DE"/>
        </w:rPr>
        <w:t>s</w:t>
      </w:r>
      <w:r w:rsidR="001A1C93">
        <w:rPr>
          <w:lang w:val="de-DE"/>
        </w:rPr>
        <w:t xml:space="preserve"> Kontrollkreises eingebunden. Nach Abschluss des Kontrollkreises wird jeder Händler über seine Endkundenabgabemenge und seine Quote mittels </w:t>
      </w:r>
      <w:r w:rsidR="00377108">
        <w:rPr>
          <w:lang w:val="de-DE"/>
        </w:rPr>
        <w:t>E-</w:t>
      </w:r>
      <w:r w:rsidR="001A1C93">
        <w:rPr>
          <w:lang w:val="de-DE"/>
        </w:rPr>
        <w:t xml:space="preserve">Mail informiert. </w:t>
      </w:r>
    </w:p>
    <w:p w14:paraId="1C500FEF" w14:textId="77777777" w:rsidR="001378E0" w:rsidRDefault="001378E0" w:rsidP="007A3777">
      <w:pPr>
        <w:rPr>
          <w:lang w:val="de-DE"/>
        </w:rPr>
      </w:pPr>
    </w:p>
    <w:p w14:paraId="468003AA" w14:textId="77777777" w:rsidR="002C63F2" w:rsidRDefault="00096B6B" w:rsidP="007A3777">
      <w:pPr>
        <w:rPr>
          <w:lang w:val="de-DE"/>
        </w:rPr>
      </w:pPr>
      <w:r>
        <w:rPr>
          <w:lang w:val="de-DE"/>
        </w:rPr>
        <w:t xml:space="preserve">Die </w:t>
      </w:r>
      <w:r w:rsidR="00AA71CA">
        <w:rPr>
          <w:lang w:val="de-DE"/>
        </w:rPr>
        <w:t>zugewiesenen Strommengen werden an Hand des EPEX-</w:t>
      </w:r>
      <w:proofErr w:type="spellStart"/>
      <w:r w:rsidR="00AA71CA">
        <w:rPr>
          <w:lang w:val="de-DE"/>
        </w:rPr>
        <w:t>day</w:t>
      </w:r>
      <w:proofErr w:type="spellEnd"/>
      <w:r w:rsidR="00AA71CA">
        <w:rPr>
          <w:lang w:val="de-DE"/>
        </w:rPr>
        <w:t>-</w:t>
      </w:r>
      <w:proofErr w:type="spellStart"/>
      <w:r w:rsidR="00AA71CA">
        <w:rPr>
          <w:lang w:val="de-DE"/>
        </w:rPr>
        <w:t>ahead</w:t>
      </w:r>
      <w:proofErr w:type="spellEnd"/>
      <w:r w:rsidR="00AA71CA">
        <w:rPr>
          <w:lang w:val="de-DE"/>
        </w:rPr>
        <w:t>-Spotmarktpreises verrechnet</w:t>
      </w:r>
      <w:r w:rsidR="002C63F2">
        <w:rPr>
          <w:lang w:val="de-DE"/>
        </w:rPr>
        <w:t>;</w:t>
      </w:r>
      <w:r w:rsidR="00AA71CA">
        <w:rPr>
          <w:lang w:val="de-DE"/>
        </w:rPr>
        <w:t xml:space="preserve"> bei negativen Spotmarktpreisen </w:t>
      </w:r>
      <w:r w:rsidR="002C63F2">
        <w:rPr>
          <w:lang w:val="de-DE"/>
        </w:rPr>
        <w:t xml:space="preserve">wird als </w:t>
      </w:r>
      <w:r w:rsidR="00AA71CA">
        <w:rPr>
          <w:lang w:val="de-DE"/>
        </w:rPr>
        <w:t>Ersatz</w:t>
      </w:r>
      <w:r w:rsidR="002C63F2">
        <w:rPr>
          <w:lang w:val="de-DE"/>
        </w:rPr>
        <w:t>wert ein P</w:t>
      </w:r>
      <w:r w:rsidR="00AA71CA">
        <w:rPr>
          <w:lang w:val="de-DE"/>
        </w:rPr>
        <w:t xml:space="preserve">reis von 1 Cent/MWh </w:t>
      </w:r>
      <w:r w:rsidR="002C63F2">
        <w:rPr>
          <w:lang w:val="de-DE"/>
        </w:rPr>
        <w:t>verrechnet</w:t>
      </w:r>
      <w:r w:rsidR="001378E0">
        <w:rPr>
          <w:lang w:val="de-DE"/>
        </w:rPr>
        <w:t xml:space="preserve">. </w:t>
      </w:r>
      <w:r w:rsidR="002C63F2">
        <w:rPr>
          <w:lang w:val="de-DE"/>
        </w:rPr>
        <w:t>Ergänzend dazu werden auch</w:t>
      </w:r>
      <w:r w:rsidRPr="00096B6B">
        <w:rPr>
          <w:lang w:val="de-DE"/>
        </w:rPr>
        <w:t xml:space="preserve"> die Strom-Herkunftsnachweise</w:t>
      </w:r>
      <w:r w:rsidR="00427A47">
        <w:rPr>
          <w:lang w:val="de-DE"/>
        </w:rPr>
        <w:t xml:space="preserve"> für </w:t>
      </w:r>
      <w:r w:rsidR="002C63F2">
        <w:rPr>
          <w:lang w:val="de-DE"/>
        </w:rPr>
        <w:t>die zugewiesenen Strommengen verrechnet. Der Herkunftsnachw</w:t>
      </w:r>
      <w:r w:rsidR="00427A47">
        <w:rPr>
          <w:lang w:val="de-DE"/>
        </w:rPr>
        <w:t>eisepreis wird zu Beginn jeden J</w:t>
      </w:r>
      <w:r w:rsidR="002C63F2">
        <w:rPr>
          <w:lang w:val="de-DE"/>
        </w:rPr>
        <w:t xml:space="preserve">ahres von der </w:t>
      </w:r>
      <w:r w:rsidR="00427A47">
        <w:rPr>
          <w:lang w:val="de-DE"/>
        </w:rPr>
        <w:t xml:space="preserve">Regulierungsbehörde </w:t>
      </w:r>
      <w:r w:rsidR="002C63F2">
        <w:rPr>
          <w:lang w:val="de-DE"/>
        </w:rPr>
        <w:t>mittels Verordnung festgelegt.</w:t>
      </w:r>
      <w:r w:rsidRPr="00096B6B">
        <w:rPr>
          <w:lang w:val="de-DE"/>
        </w:rPr>
        <w:t xml:space="preserve"> </w:t>
      </w:r>
    </w:p>
    <w:p w14:paraId="3819614E" w14:textId="77777777" w:rsidR="001378E0" w:rsidRDefault="001378E0" w:rsidP="007A3777">
      <w:pPr>
        <w:rPr>
          <w:lang w:val="de-DE"/>
        </w:rPr>
      </w:pPr>
    </w:p>
    <w:p w14:paraId="40B6D14A" w14:textId="77777777" w:rsidR="00F9655D" w:rsidRDefault="00096B6B" w:rsidP="007A3777">
      <w:pPr>
        <w:rPr>
          <w:lang w:val="de-DE"/>
        </w:rPr>
      </w:pPr>
      <w:r>
        <w:rPr>
          <w:lang w:val="de-DE"/>
        </w:rPr>
        <w:t>Die</w:t>
      </w:r>
      <w:r w:rsidR="002B76B6" w:rsidRPr="007A3777">
        <w:rPr>
          <w:lang w:val="de-DE"/>
        </w:rPr>
        <w:t xml:space="preserve"> Netzbetreiber ha</w:t>
      </w:r>
      <w:r>
        <w:rPr>
          <w:lang w:val="de-DE"/>
        </w:rPr>
        <w:t>ben</w:t>
      </w:r>
      <w:r w:rsidR="002B76B6" w:rsidRPr="007A3777">
        <w:rPr>
          <w:lang w:val="de-DE"/>
        </w:rPr>
        <w:t xml:space="preserve"> die Pflicht</w:t>
      </w:r>
      <w:r w:rsidR="00F9655D">
        <w:rPr>
          <w:lang w:val="de-DE"/>
        </w:rPr>
        <w:t xml:space="preserve"> </w:t>
      </w:r>
      <w:r w:rsidR="002B76B6">
        <w:rPr>
          <w:lang w:val="de-DE"/>
        </w:rPr>
        <w:t xml:space="preserve">die Ökostrompauschale </w:t>
      </w:r>
      <w:r w:rsidR="002B76B6" w:rsidRPr="001D2E75">
        <w:rPr>
          <w:lang w:val="de-DE"/>
        </w:rPr>
        <w:t xml:space="preserve">und den Ökostromförderbeitrag vom Endkunden </w:t>
      </w:r>
      <w:r w:rsidR="002C63F2" w:rsidRPr="001D2E75">
        <w:rPr>
          <w:lang w:val="de-DE"/>
        </w:rPr>
        <w:t xml:space="preserve">im Rahmen der Netzabrechnung </w:t>
      </w:r>
      <w:r w:rsidRPr="001D2E75">
        <w:rPr>
          <w:lang w:val="de-DE"/>
        </w:rPr>
        <w:t xml:space="preserve">(für die </w:t>
      </w:r>
      <w:proofErr w:type="spellStart"/>
      <w:r w:rsidRPr="001D2E75">
        <w:rPr>
          <w:lang w:val="de-DE"/>
        </w:rPr>
        <w:t>OeMAG</w:t>
      </w:r>
      <w:proofErr w:type="spellEnd"/>
      <w:r w:rsidRPr="001D2E75">
        <w:rPr>
          <w:lang w:val="de-DE"/>
        </w:rPr>
        <w:t>) einzuheben</w:t>
      </w:r>
      <w:r w:rsidR="002B76B6" w:rsidRPr="001D2E75">
        <w:rPr>
          <w:lang w:val="de-DE"/>
        </w:rPr>
        <w:t xml:space="preserve">. </w:t>
      </w:r>
      <w:r w:rsidR="004377D1" w:rsidRPr="001D2E75">
        <w:rPr>
          <w:lang w:val="de-DE"/>
        </w:rPr>
        <w:t xml:space="preserve">Als Stromhändler haben </w:t>
      </w:r>
      <w:r w:rsidR="000D6D0C" w:rsidRPr="001D2E75">
        <w:rPr>
          <w:lang w:val="de-DE"/>
        </w:rPr>
        <w:t>Sie von Ihren Endkunden keinerlei Fördergelder</w:t>
      </w:r>
      <w:r w:rsidR="001D2E75">
        <w:rPr>
          <w:lang w:val="de-DE"/>
        </w:rPr>
        <w:t xml:space="preserve"> für Ökostrom</w:t>
      </w:r>
      <w:r w:rsidR="000D6D0C" w:rsidRPr="001D2E75">
        <w:rPr>
          <w:lang w:val="de-DE"/>
        </w:rPr>
        <w:t xml:space="preserve"> ein</w:t>
      </w:r>
      <w:r w:rsidR="004377D1" w:rsidRPr="001D2E75">
        <w:rPr>
          <w:lang w:val="de-DE"/>
        </w:rPr>
        <w:t>zu</w:t>
      </w:r>
      <w:r w:rsidR="000D6D0C" w:rsidRPr="001D2E75">
        <w:rPr>
          <w:lang w:val="de-DE"/>
        </w:rPr>
        <w:t>heben</w:t>
      </w:r>
      <w:r w:rsidR="007A7946">
        <w:rPr>
          <w:lang w:val="de-DE"/>
        </w:rPr>
        <w:t xml:space="preserve"> (ausgenommen, Ihr Unternehmen entschließt sich für eine gemeinsame Rechnungslegung: näheres hierzu siehe</w:t>
      </w:r>
      <w:r w:rsidR="005D0B88">
        <w:rPr>
          <w:lang w:val="de-DE"/>
        </w:rPr>
        <w:t xml:space="preserve"> im Abschnitt </w:t>
      </w:r>
      <w:r w:rsidR="007A7946">
        <w:rPr>
          <w:lang w:val="de-DE"/>
        </w:rPr>
        <w:t xml:space="preserve"> </w:t>
      </w:r>
      <w:r w:rsidR="007A7946">
        <w:rPr>
          <w:lang w:val="de-DE"/>
        </w:rPr>
        <w:fldChar w:fldCharType="begin"/>
      </w:r>
      <w:r w:rsidR="007A7946">
        <w:rPr>
          <w:lang w:val="de-DE"/>
        </w:rPr>
        <w:instrText xml:space="preserve"> REF _Ref378658846 \r \h </w:instrText>
      </w:r>
      <w:r w:rsidR="007A7946">
        <w:rPr>
          <w:lang w:val="de-DE"/>
        </w:rPr>
      </w:r>
      <w:r w:rsidR="007A7946">
        <w:rPr>
          <w:lang w:val="de-DE"/>
        </w:rPr>
        <w:fldChar w:fldCharType="separate"/>
      </w:r>
      <w:r w:rsidR="0008678F">
        <w:rPr>
          <w:lang w:val="de-DE"/>
        </w:rPr>
        <w:t>M)</w:t>
      </w:r>
      <w:r w:rsidR="007A7946">
        <w:rPr>
          <w:lang w:val="de-DE"/>
        </w:rPr>
        <w:fldChar w:fldCharType="end"/>
      </w:r>
      <w:r w:rsidR="007A7946">
        <w:rPr>
          <w:lang w:val="de-DE"/>
        </w:rPr>
        <w:fldChar w:fldCharType="begin"/>
      </w:r>
      <w:r w:rsidR="007A7946">
        <w:rPr>
          <w:lang w:val="de-DE"/>
        </w:rPr>
        <w:instrText xml:space="preserve"> REF _Ref378658846 \h </w:instrText>
      </w:r>
      <w:r w:rsidR="007A7946">
        <w:rPr>
          <w:lang w:val="de-DE"/>
        </w:rPr>
      </w:r>
      <w:r w:rsidR="007A7946">
        <w:rPr>
          <w:lang w:val="de-DE"/>
        </w:rPr>
        <w:fldChar w:fldCharType="separate"/>
      </w:r>
      <w:r w:rsidR="0008678F" w:rsidRPr="00856227">
        <w:t>Rechnungslegung</w:t>
      </w:r>
      <w:r w:rsidR="007A7946">
        <w:rPr>
          <w:lang w:val="de-DE"/>
        </w:rPr>
        <w:fldChar w:fldCharType="end"/>
      </w:r>
      <w:r w:rsidR="007A7946">
        <w:rPr>
          <w:lang w:val="de-DE"/>
        </w:rPr>
        <w:t>).</w:t>
      </w:r>
    </w:p>
    <w:p w14:paraId="4087E990" w14:textId="77777777" w:rsidR="002B76B6" w:rsidRDefault="009958BA" w:rsidP="00B313A9">
      <w:pPr>
        <w:keepNext/>
        <w:rPr>
          <w:lang w:val="de-DE"/>
        </w:rPr>
      </w:pPr>
      <w:r>
        <w:rPr>
          <w:lang w:val="de-DE"/>
        </w:rPr>
        <w:t xml:space="preserve">Nähere Informationen zum Fördersystem finden Sie unter: </w:t>
      </w:r>
    </w:p>
    <w:p w14:paraId="3917FF72" w14:textId="77777777" w:rsidR="002F5650" w:rsidRDefault="00F26E1C" w:rsidP="007A3777">
      <w:pPr>
        <w:rPr>
          <w:lang w:val="de-DE"/>
        </w:rPr>
      </w:pPr>
      <w:hyperlink r:id="rId108" w:history="1">
        <w:r w:rsidR="001378E0" w:rsidRPr="000953B2">
          <w:rPr>
            <w:rStyle w:val="Hyperlink"/>
            <w:lang w:val="de-DE"/>
          </w:rPr>
          <w:t>http://www.e-control.at/de/marktteilnehmer/oeko-energie/oekostrom-foerdersystem</w:t>
        </w:r>
      </w:hyperlink>
    </w:p>
    <w:p w14:paraId="68AF92DA" w14:textId="77777777" w:rsidR="009958BA" w:rsidRDefault="009958BA" w:rsidP="007A3777">
      <w:pPr>
        <w:rPr>
          <w:lang w:val="de-DE"/>
        </w:rPr>
      </w:pPr>
    </w:p>
    <w:p w14:paraId="32A19840" w14:textId="77777777" w:rsidR="00F9655D" w:rsidRDefault="00F9655D" w:rsidP="00F9655D">
      <w:pPr>
        <w:keepNext/>
        <w:rPr>
          <w:b/>
        </w:rPr>
      </w:pPr>
      <w:r>
        <w:rPr>
          <w:b/>
        </w:rPr>
        <w:t xml:space="preserve">Handlungsanweisung </w:t>
      </w:r>
    </w:p>
    <w:p w14:paraId="7C5AAE08" w14:textId="45DB3635" w:rsidR="00E65ADD" w:rsidRDefault="00F9655D" w:rsidP="00F9655D">
      <w:pPr>
        <w:rPr>
          <w:lang w:val="de-DE"/>
        </w:rPr>
      </w:pPr>
      <w:r>
        <w:rPr>
          <w:lang w:val="de-DE"/>
        </w:rPr>
        <w:t>Zur Abwicklung</w:t>
      </w:r>
      <w:r w:rsidR="004C0D3F">
        <w:rPr>
          <w:lang w:val="de-DE"/>
        </w:rPr>
        <w:t xml:space="preserve"> der geförderten Ökostrommengen </w:t>
      </w:r>
      <w:r>
        <w:rPr>
          <w:lang w:val="de-DE"/>
        </w:rPr>
        <w:t>ha</w:t>
      </w:r>
      <w:r w:rsidR="004C0D3F">
        <w:rPr>
          <w:lang w:val="de-DE"/>
        </w:rPr>
        <w:t xml:space="preserve">ben Sie </w:t>
      </w:r>
      <w:r w:rsidR="008462E3">
        <w:rPr>
          <w:lang w:val="de-DE"/>
        </w:rPr>
        <w:t xml:space="preserve">als </w:t>
      </w:r>
      <w:r w:rsidR="008462E3" w:rsidRPr="00E65ADD">
        <w:rPr>
          <w:lang w:val="de-DE"/>
        </w:rPr>
        <w:t>Stromhändler</w:t>
      </w:r>
      <w:r w:rsidR="008462E3">
        <w:rPr>
          <w:lang w:val="de-DE"/>
        </w:rPr>
        <w:t>, der Endkunden (auf österreichischem Staatsgebiet) beliefert,</w:t>
      </w:r>
      <w:r w:rsidR="008462E3" w:rsidDel="009317A0">
        <w:rPr>
          <w:lang w:val="de-DE"/>
        </w:rPr>
        <w:t xml:space="preserve"> </w:t>
      </w:r>
      <w:r>
        <w:rPr>
          <w:lang w:val="de-DE"/>
        </w:rPr>
        <w:t xml:space="preserve">mit der </w:t>
      </w:r>
      <w:proofErr w:type="spellStart"/>
      <w:r>
        <w:rPr>
          <w:lang w:val="de-DE"/>
        </w:rPr>
        <w:t>OeMAG</w:t>
      </w:r>
      <w:proofErr w:type="spellEnd"/>
      <w:r>
        <w:rPr>
          <w:lang w:val="de-DE"/>
        </w:rPr>
        <w:t xml:space="preserve"> einen Vertrag abzuschließen.</w:t>
      </w:r>
      <w:r w:rsidR="009317A0">
        <w:rPr>
          <w:lang w:val="de-DE"/>
        </w:rPr>
        <w:t xml:space="preserve"> </w:t>
      </w:r>
      <w:r w:rsidR="006937A7">
        <w:rPr>
          <w:lang w:val="de-DE"/>
        </w:rPr>
        <w:t>Neben den vertragsrelevanten Stammdaten</w:t>
      </w:r>
      <w:r w:rsidR="00427A47">
        <w:rPr>
          <w:lang w:val="de-DE"/>
        </w:rPr>
        <w:t xml:space="preserve"> sind</w:t>
      </w:r>
      <w:r w:rsidR="008462E3">
        <w:rPr>
          <w:lang w:val="de-DE"/>
        </w:rPr>
        <w:t xml:space="preserve"> alle </w:t>
      </w:r>
      <w:r w:rsidR="001A1C93">
        <w:rPr>
          <w:lang w:val="de-DE"/>
        </w:rPr>
        <w:t xml:space="preserve">für den Fahrplanaustausch erforderlichen </w:t>
      </w:r>
      <w:r w:rsidR="00E65ADD" w:rsidRPr="00E65ADD">
        <w:rPr>
          <w:lang w:val="de-DE"/>
        </w:rPr>
        <w:lastRenderedPageBreak/>
        <w:t xml:space="preserve">Details </w:t>
      </w:r>
      <w:r w:rsidR="001A1C93">
        <w:rPr>
          <w:lang w:val="de-DE"/>
        </w:rPr>
        <w:t xml:space="preserve">wie </w:t>
      </w:r>
      <w:r w:rsidR="00E65ADD" w:rsidRPr="00E65ADD">
        <w:rPr>
          <w:lang w:val="de-DE"/>
        </w:rPr>
        <w:t xml:space="preserve">EIC, </w:t>
      </w:r>
      <w:r w:rsidR="00377108">
        <w:rPr>
          <w:lang w:val="de-DE"/>
        </w:rPr>
        <w:t>E-</w:t>
      </w:r>
      <w:r w:rsidR="001A1C93">
        <w:rPr>
          <w:lang w:val="de-DE"/>
        </w:rPr>
        <w:t>Mail</w:t>
      </w:r>
      <w:r w:rsidR="00377108">
        <w:rPr>
          <w:lang w:val="de-DE"/>
        </w:rPr>
        <w:t>a</w:t>
      </w:r>
      <w:r w:rsidR="001A1C93">
        <w:rPr>
          <w:lang w:val="de-DE"/>
        </w:rPr>
        <w:t xml:space="preserve">dressen für Fahrplanverkehr und Quoten-Kontrollkreis einschließlich der Kontaktdaten der damit befassten Personen </w:t>
      </w:r>
      <w:r w:rsidR="00E65ADD">
        <w:rPr>
          <w:lang w:val="de-DE"/>
        </w:rPr>
        <w:t xml:space="preserve">der </w:t>
      </w:r>
      <w:proofErr w:type="spellStart"/>
      <w:r w:rsidR="00E65ADD">
        <w:rPr>
          <w:lang w:val="de-DE"/>
        </w:rPr>
        <w:t>OeMAG</w:t>
      </w:r>
      <w:proofErr w:type="spellEnd"/>
      <w:r w:rsidR="00E65ADD">
        <w:rPr>
          <w:lang w:val="de-DE"/>
        </w:rPr>
        <w:t xml:space="preserve"> zur Kenntnis </w:t>
      </w:r>
      <w:r w:rsidR="008462E3">
        <w:rPr>
          <w:lang w:val="de-DE"/>
        </w:rPr>
        <w:t xml:space="preserve">zu </w:t>
      </w:r>
      <w:r w:rsidR="00E65ADD">
        <w:rPr>
          <w:lang w:val="de-DE"/>
        </w:rPr>
        <w:t>bringen</w:t>
      </w:r>
      <w:r w:rsidR="008462E3">
        <w:rPr>
          <w:lang w:val="de-DE"/>
        </w:rPr>
        <w:t>.</w:t>
      </w:r>
      <w:r w:rsidR="00E65ADD">
        <w:rPr>
          <w:lang w:val="de-DE"/>
        </w:rPr>
        <w:t xml:space="preserve"> </w:t>
      </w:r>
    </w:p>
    <w:p w14:paraId="3DD3607E" w14:textId="77777777" w:rsidR="005801B4" w:rsidRDefault="005801B4" w:rsidP="009317A0">
      <w:pPr>
        <w:rPr>
          <w:lang w:val="de-DE"/>
        </w:rPr>
      </w:pPr>
    </w:p>
    <w:p w14:paraId="712997B7" w14:textId="77777777" w:rsidR="009317A0" w:rsidRDefault="009317A0" w:rsidP="009317A0">
      <w:pPr>
        <w:rPr>
          <w:lang w:val="de-DE"/>
        </w:rPr>
      </w:pPr>
      <w:r>
        <w:rPr>
          <w:lang w:val="de-DE"/>
        </w:rPr>
        <w:t xml:space="preserve">Zum Zwecke des Vertragsabschlusses wenden Sie sich direkt an die </w:t>
      </w:r>
      <w:proofErr w:type="spellStart"/>
      <w:r>
        <w:rPr>
          <w:lang w:val="de-DE"/>
        </w:rPr>
        <w:t>OeMAG</w:t>
      </w:r>
      <w:proofErr w:type="spellEnd"/>
      <w:r>
        <w:rPr>
          <w:lang w:val="de-DE"/>
        </w:rPr>
        <w:t xml:space="preserve"> </w:t>
      </w:r>
      <w:r w:rsidRPr="002F5650">
        <w:rPr>
          <w:lang w:val="de-DE"/>
        </w:rPr>
        <w:t>unter</w:t>
      </w:r>
      <w:r>
        <w:rPr>
          <w:lang w:val="de-DE"/>
        </w:rPr>
        <w:t xml:space="preserve"> dem Kontakt </w:t>
      </w:r>
      <w:hyperlink r:id="rId109" w:history="1">
        <w:r w:rsidR="00186003" w:rsidRPr="00F22540">
          <w:rPr>
            <w:rStyle w:val="Hyperlink"/>
            <w:lang w:val="de-DE"/>
          </w:rPr>
          <w:t>kundenservice@oem-ag.at</w:t>
        </w:r>
      </w:hyperlink>
      <w:r w:rsidR="00186003">
        <w:rPr>
          <w:lang w:val="de-DE"/>
        </w:rPr>
        <w:t xml:space="preserve"> und </w:t>
      </w:r>
      <w:hyperlink r:id="rId110" w:history="1">
        <w:r w:rsidR="00186003" w:rsidRPr="00F22540">
          <w:rPr>
            <w:rStyle w:val="Hyperlink"/>
            <w:lang w:val="de-DE"/>
          </w:rPr>
          <w:t>quoten@oem-ag.at</w:t>
        </w:r>
      </w:hyperlink>
      <w:r>
        <w:rPr>
          <w:lang w:val="de-DE"/>
        </w:rPr>
        <w:t>.</w:t>
      </w:r>
      <w:r w:rsidR="008462E3">
        <w:rPr>
          <w:lang w:val="de-DE"/>
        </w:rPr>
        <w:t xml:space="preserve"> Dort erhalten Sie eine genaue Liste der erforderlichen Daten. Nach deren Übermittlung sendet Ihnen d</w:t>
      </w:r>
      <w:r>
        <w:rPr>
          <w:lang w:val="de-DE"/>
        </w:rPr>
        <w:t>ie</w:t>
      </w:r>
      <w:r w:rsidR="008462E3">
        <w:rPr>
          <w:lang w:val="de-DE"/>
        </w:rPr>
        <w:t xml:space="preserve"> </w:t>
      </w:r>
      <w:proofErr w:type="spellStart"/>
      <w:r w:rsidR="008462E3">
        <w:rPr>
          <w:lang w:val="de-DE"/>
        </w:rPr>
        <w:t>OeMAG</w:t>
      </w:r>
      <w:proofErr w:type="spellEnd"/>
      <w:r w:rsidR="008462E3">
        <w:rPr>
          <w:lang w:val="de-DE"/>
        </w:rPr>
        <w:t xml:space="preserve"> </w:t>
      </w:r>
      <w:r>
        <w:rPr>
          <w:lang w:val="de-DE"/>
        </w:rPr>
        <w:t xml:space="preserve">den einseitig unterzeichneten Vertrag in doppelter Ausführung zu. Nach </w:t>
      </w:r>
      <w:r w:rsidR="008462E3">
        <w:rPr>
          <w:lang w:val="de-DE"/>
        </w:rPr>
        <w:t xml:space="preserve">erfolgter </w:t>
      </w:r>
      <w:r>
        <w:rPr>
          <w:lang w:val="de-DE"/>
        </w:rPr>
        <w:t>Gegenzeichnung übermitteln Sie ein Vertragsexemplar</w:t>
      </w:r>
      <w:r w:rsidR="00175322">
        <w:rPr>
          <w:lang w:val="de-DE"/>
        </w:rPr>
        <w:t xml:space="preserve"> zurück an die </w:t>
      </w:r>
      <w:proofErr w:type="spellStart"/>
      <w:r w:rsidR="00175322">
        <w:rPr>
          <w:lang w:val="de-DE"/>
        </w:rPr>
        <w:t>OeMAG</w:t>
      </w:r>
      <w:proofErr w:type="spellEnd"/>
      <w:r>
        <w:rPr>
          <w:lang w:val="de-DE"/>
        </w:rPr>
        <w:t>.</w:t>
      </w:r>
    </w:p>
    <w:p w14:paraId="63AE2E6E" w14:textId="77777777" w:rsidR="005801B4" w:rsidRDefault="005801B4" w:rsidP="009317A0">
      <w:pPr>
        <w:rPr>
          <w:lang w:val="de-DE"/>
        </w:rPr>
      </w:pPr>
    </w:p>
    <w:p w14:paraId="2C3821FB" w14:textId="1DEFBB4D" w:rsidR="008462E3" w:rsidRPr="00F93AD8" w:rsidRDefault="00467EC7" w:rsidP="008462E3">
      <w:pPr>
        <w:rPr>
          <w:lang w:val="de-DE"/>
        </w:rPr>
      </w:pPr>
      <w:r w:rsidRPr="00F93AD8">
        <w:rPr>
          <w:lang w:val="de-DE"/>
        </w:rPr>
        <w:t xml:space="preserve">Fragen </w:t>
      </w:r>
      <w:r w:rsidR="001777C6" w:rsidRPr="00F93AD8">
        <w:rPr>
          <w:lang w:val="de-DE"/>
        </w:rPr>
        <w:t>betreffend fahrplantechnische</w:t>
      </w:r>
      <w:r w:rsidR="001777C6">
        <w:rPr>
          <w:lang w:val="de-DE"/>
        </w:rPr>
        <w:t xml:space="preserve"> Details,</w:t>
      </w:r>
      <w:r w:rsidR="005801B4" w:rsidRPr="00F93AD8">
        <w:rPr>
          <w:lang w:val="de-DE"/>
        </w:rPr>
        <w:t xml:space="preserve"> </w:t>
      </w:r>
      <w:r w:rsidRPr="00F93AD8">
        <w:rPr>
          <w:lang w:val="de-DE"/>
        </w:rPr>
        <w:t>Ökostromzuweisung und Abnahmequote</w:t>
      </w:r>
      <w:r w:rsidR="005801B4" w:rsidRPr="00F93AD8">
        <w:rPr>
          <w:lang w:val="de-DE"/>
        </w:rPr>
        <w:t xml:space="preserve"> können Sie an folgende</w:t>
      </w:r>
      <w:r w:rsidR="00427A47">
        <w:rPr>
          <w:lang w:val="de-DE"/>
        </w:rPr>
        <w:t>n</w:t>
      </w:r>
      <w:r w:rsidR="005801B4" w:rsidRPr="00F93AD8">
        <w:rPr>
          <w:lang w:val="de-DE"/>
        </w:rPr>
        <w:t xml:space="preserve"> E-</w:t>
      </w:r>
      <w:r w:rsidR="008462E3" w:rsidRPr="00F93AD8">
        <w:rPr>
          <w:lang w:val="de-DE"/>
        </w:rPr>
        <w:t xml:space="preserve">Mail </w:t>
      </w:r>
      <w:r w:rsidR="00427A47">
        <w:rPr>
          <w:lang w:val="de-DE"/>
        </w:rPr>
        <w:t>Kontakt</w:t>
      </w:r>
      <w:r w:rsidR="008462E3" w:rsidRPr="00F93AD8">
        <w:rPr>
          <w:lang w:val="de-DE"/>
        </w:rPr>
        <w:t xml:space="preserve"> </w:t>
      </w:r>
      <w:hyperlink r:id="rId111" w:history="1">
        <w:r w:rsidR="008462E3" w:rsidRPr="00F93AD8">
          <w:rPr>
            <w:rStyle w:val="Hyperlink"/>
            <w:lang w:val="de-DE"/>
          </w:rPr>
          <w:t>quoten@oem-ag.at</w:t>
        </w:r>
      </w:hyperlink>
      <w:r w:rsidR="008462E3" w:rsidRPr="00F93AD8">
        <w:rPr>
          <w:lang w:val="de-DE"/>
        </w:rPr>
        <w:t xml:space="preserve"> richten.</w:t>
      </w:r>
    </w:p>
    <w:p w14:paraId="007C62DE" w14:textId="77777777" w:rsidR="004C0D3F" w:rsidRDefault="004C0D3F" w:rsidP="00F9655D">
      <w:pPr>
        <w:rPr>
          <w:lang w:val="de-DE"/>
        </w:rPr>
      </w:pPr>
    </w:p>
    <w:tbl>
      <w:tblPr>
        <w:tblW w:w="0" w:type="auto"/>
        <w:tblInd w:w="55" w:type="dxa"/>
        <w:tblCellMar>
          <w:left w:w="70" w:type="dxa"/>
          <w:right w:w="70" w:type="dxa"/>
        </w:tblCellMar>
        <w:tblLook w:val="04A0" w:firstRow="1" w:lastRow="0" w:firstColumn="1" w:lastColumn="0" w:noHBand="0" w:noVBand="1"/>
      </w:tblPr>
      <w:tblGrid>
        <w:gridCol w:w="7828"/>
        <w:gridCol w:w="1679"/>
      </w:tblGrid>
      <w:tr w:rsidR="004C0D3F" w:rsidRPr="0059388E" w14:paraId="08EE7CC0" w14:textId="77777777" w:rsidTr="004C0D3F">
        <w:trPr>
          <w:trHeight w:val="255"/>
        </w:trPr>
        <w:tc>
          <w:tcPr>
            <w:tcW w:w="0" w:type="auto"/>
            <w:tcBorders>
              <w:top w:val="nil"/>
              <w:left w:val="nil"/>
              <w:bottom w:val="nil"/>
              <w:right w:val="nil"/>
            </w:tcBorders>
            <w:shd w:val="clear" w:color="000000" w:fill="95B3D7"/>
            <w:noWrap/>
            <w:vAlign w:val="center"/>
            <w:hideMark/>
          </w:tcPr>
          <w:p w14:paraId="3EE99978" w14:textId="77777777" w:rsidR="004C0D3F" w:rsidRPr="0059388E" w:rsidRDefault="004C0D3F" w:rsidP="004C0D3F">
            <w:pPr>
              <w:pStyle w:val="Listenabsatz"/>
              <w:spacing w:line="276" w:lineRule="auto"/>
              <w:ind w:left="0"/>
              <w:rPr>
                <w:b/>
              </w:rPr>
            </w:pPr>
            <w:r w:rsidRPr="0059388E">
              <w:rPr>
                <w:b/>
              </w:rPr>
              <w:t xml:space="preserve">Checkliste </w:t>
            </w:r>
            <w:r>
              <w:rPr>
                <w:b/>
              </w:rPr>
              <w:t>–</w:t>
            </w:r>
            <w:r w:rsidRPr="0059388E">
              <w:rPr>
                <w:b/>
              </w:rPr>
              <w:t xml:space="preserve"> </w:t>
            </w:r>
            <w:proofErr w:type="spellStart"/>
            <w:r>
              <w:rPr>
                <w:b/>
              </w:rPr>
              <w:t>OeMAG</w:t>
            </w:r>
            <w:proofErr w:type="spellEnd"/>
            <w:r>
              <w:rPr>
                <w:b/>
              </w:rPr>
              <w:t xml:space="preserve"> Kontrahierung</w:t>
            </w:r>
          </w:p>
        </w:tc>
        <w:tc>
          <w:tcPr>
            <w:tcW w:w="0" w:type="auto"/>
            <w:tcBorders>
              <w:top w:val="nil"/>
              <w:left w:val="nil"/>
              <w:bottom w:val="nil"/>
              <w:right w:val="nil"/>
            </w:tcBorders>
            <w:shd w:val="clear" w:color="000000" w:fill="95B3D7"/>
            <w:noWrap/>
            <w:vAlign w:val="center"/>
            <w:hideMark/>
          </w:tcPr>
          <w:p w14:paraId="22B15AA0" w14:textId="77777777" w:rsidR="004C0D3F" w:rsidRPr="0059388E" w:rsidRDefault="000A490E" w:rsidP="004C0D3F">
            <w:pPr>
              <w:pStyle w:val="Listenabsatz"/>
              <w:spacing w:line="276" w:lineRule="auto"/>
              <w:rPr>
                <w:b/>
              </w:rPr>
            </w:pPr>
            <w:r>
              <w:rPr>
                <w:b/>
              </w:rPr>
              <w:t>A</w:t>
            </w:r>
            <w:r w:rsidR="004C0D3F" w:rsidRPr="0059388E">
              <w:rPr>
                <w:b/>
              </w:rPr>
              <w:t>T*</w:t>
            </w:r>
          </w:p>
        </w:tc>
      </w:tr>
      <w:tr w:rsidR="004C0D3F" w:rsidRPr="00E3294E" w14:paraId="4469487C" w14:textId="77777777" w:rsidTr="004C0D3F">
        <w:trPr>
          <w:trHeight w:val="510"/>
        </w:trPr>
        <w:tc>
          <w:tcPr>
            <w:tcW w:w="0" w:type="auto"/>
            <w:tcBorders>
              <w:top w:val="single" w:sz="4" w:space="0" w:color="FFFFFF"/>
              <w:left w:val="single" w:sz="4" w:space="0" w:color="FFFFFF"/>
              <w:bottom w:val="single" w:sz="4" w:space="0" w:color="FFFFFF"/>
              <w:right w:val="single" w:sz="4" w:space="0" w:color="FFFFFF"/>
            </w:tcBorders>
            <w:shd w:val="clear" w:color="000000" w:fill="BDD1E7"/>
            <w:vAlign w:val="center"/>
            <w:hideMark/>
          </w:tcPr>
          <w:p w14:paraId="4034964F" w14:textId="77777777" w:rsidR="004C0D3F" w:rsidRPr="00762D2F" w:rsidRDefault="004C0D3F" w:rsidP="00F93AD8">
            <w:pPr>
              <w:pStyle w:val="Listenabsatz"/>
              <w:spacing w:line="276" w:lineRule="auto"/>
            </w:pPr>
            <w:proofErr w:type="spellStart"/>
            <w:r>
              <w:t>OeMAG</w:t>
            </w:r>
            <w:proofErr w:type="spellEnd"/>
            <w:r>
              <w:t xml:space="preserve"> kontaktiert</w:t>
            </w:r>
            <w:r w:rsidR="00175322">
              <w:t xml:space="preserve"> und Frageliste erhalten</w:t>
            </w:r>
          </w:p>
        </w:tc>
        <w:tc>
          <w:tcPr>
            <w:tcW w:w="0" w:type="auto"/>
            <w:tcBorders>
              <w:top w:val="single" w:sz="4" w:space="0" w:color="FFFFFF"/>
              <w:left w:val="nil"/>
              <w:bottom w:val="single" w:sz="4" w:space="0" w:color="FFFFFF"/>
              <w:right w:val="single" w:sz="4" w:space="0" w:color="FFFFFF"/>
            </w:tcBorders>
            <w:shd w:val="clear" w:color="000000" w:fill="BDD1E7"/>
            <w:noWrap/>
            <w:vAlign w:val="center"/>
          </w:tcPr>
          <w:p w14:paraId="3C773642" w14:textId="77777777" w:rsidR="00175322" w:rsidRPr="00E3294E" w:rsidRDefault="00175322" w:rsidP="00F93AD8">
            <w:pPr>
              <w:pStyle w:val="Listenabsatz"/>
              <w:spacing w:line="276" w:lineRule="auto"/>
            </w:pPr>
            <w:r>
              <w:t>0,1</w:t>
            </w:r>
          </w:p>
        </w:tc>
      </w:tr>
      <w:tr w:rsidR="004C0D3F" w:rsidRPr="00E3294E" w14:paraId="22517A5F" w14:textId="77777777" w:rsidTr="002564F9">
        <w:trPr>
          <w:trHeight w:val="255"/>
        </w:trPr>
        <w:tc>
          <w:tcPr>
            <w:tcW w:w="0" w:type="auto"/>
            <w:tcBorders>
              <w:top w:val="nil"/>
              <w:left w:val="single" w:sz="4" w:space="0" w:color="FFFFFF"/>
              <w:bottom w:val="single" w:sz="4" w:space="0" w:color="FFFFFF"/>
              <w:right w:val="single" w:sz="4" w:space="0" w:color="FFFFFF"/>
            </w:tcBorders>
            <w:shd w:val="clear" w:color="000000" w:fill="DAE6F2"/>
            <w:vAlign w:val="center"/>
            <w:hideMark/>
          </w:tcPr>
          <w:p w14:paraId="160E93F7" w14:textId="77777777" w:rsidR="004C0D3F" w:rsidRPr="00E3294E" w:rsidRDefault="00175322" w:rsidP="004C0D3F">
            <w:pPr>
              <w:pStyle w:val="Listenabsatz"/>
              <w:spacing w:line="276" w:lineRule="auto"/>
            </w:pPr>
            <w:r>
              <w:t xml:space="preserve">Stammdaten und fahrplantechnische Details </w:t>
            </w:r>
            <w:r w:rsidR="00847D31">
              <w:t xml:space="preserve">vollständig </w:t>
            </w:r>
            <w:r>
              <w:t>übermittelt</w:t>
            </w:r>
            <w:r w:rsidDel="00175322">
              <w:t xml:space="preserve"> </w:t>
            </w:r>
          </w:p>
        </w:tc>
        <w:tc>
          <w:tcPr>
            <w:tcW w:w="0" w:type="auto"/>
            <w:tcBorders>
              <w:top w:val="nil"/>
              <w:left w:val="nil"/>
              <w:bottom w:val="single" w:sz="4" w:space="0" w:color="FFFFFF"/>
              <w:right w:val="single" w:sz="4" w:space="0" w:color="FFFFFF"/>
            </w:tcBorders>
            <w:shd w:val="clear" w:color="000000" w:fill="DAE6F2"/>
            <w:noWrap/>
            <w:vAlign w:val="center"/>
          </w:tcPr>
          <w:p w14:paraId="484F392E" w14:textId="77777777" w:rsidR="004C0D3F" w:rsidRPr="00E3294E" w:rsidRDefault="00175322" w:rsidP="002564F9">
            <w:pPr>
              <w:pStyle w:val="Listenabsatz"/>
              <w:spacing w:line="276" w:lineRule="auto"/>
            </w:pPr>
            <w:r>
              <w:t>5</w:t>
            </w:r>
          </w:p>
        </w:tc>
      </w:tr>
      <w:tr w:rsidR="002564F9" w:rsidRPr="00E3294E" w14:paraId="296227CF" w14:textId="77777777" w:rsidTr="002564F9">
        <w:trPr>
          <w:trHeight w:val="255"/>
        </w:trPr>
        <w:tc>
          <w:tcPr>
            <w:tcW w:w="0" w:type="auto"/>
            <w:tcBorders>
              <w:top w:val="single" w:sz="4" w:space="0" w:color="FFFFFF"/>
              <w:left w:val="single" w:sz="4" w:space="0" w:color="FFFFFF"/>
              <w:bottom w:val="single" w:sz="4" w:space="0" w:color="FFFFFF"/>
              <w:right w:val="single" w:sz="4" w:space="0" w:color="FFFFFF"/>
            </w:tcBorders>
            <w:shd w:val="clear" w:color="000000" w:fill="B8CCE4" w:themeFill="accent1" w:themeFillTint="66"/>
            <w:vAlign w:val="center"/>
          </w:tcPr>
          <w:p w14:paraId="2AD04E21" w14:textId="77777777" w:rsidR="002564F9" w:rsidRDefault="00175322" w:rsidP="008048FD">
            <w:pPr>
              <w:pStyle w:val="Listenabsatz"/>
              <w:spacing w:line="276" w:lineRule="auto"/>
            </w:pPr>
            <w:proofErr w:type="spellStart"/>
            <w:r>
              <w:t>O</w:t>
            </w:r>
            <w:r w:rsidR="008048FD">
              <w:t>eMAG</w:t>
            </w:r>
            <w:proofErr w:type="spellEnd"/>
            <w:r w:rsidR="008048FD">
              <w:t xml:space="preserve"> Verträge erhalten und gegenge</w:t>
            </w:r>
            <w:r>
              <w:t>zeichnet rückgesendet</w:t>
            </w:r>
          </w:p>
        </w:tc>
        <w:tc>
          <w:tcPr>
            <w:tcW w:w="0" w:type="auto"/>
            <w:tcBorders>
              <w:top w:val="single" w:sz="4" w:space="0" w:color="FFFFFF"/>
              <w:left w:val="nil"/>
              <w:bottom w:val="single" w:sz="4" w:space="0" w:color="FFFFFF"/>
              <w:right w:val="single" w:sz="4" w:space="0" w:color="FFFFFF"/>
            </w:tcBorders>
            <w:shd w:val="clear" w:color="000000" w:fill="B8CCE4" w:themeFill="accent1" w:themeFillTint="66"/>
            <w:noWrap/>
            <w:vAlign w:val="center"/>
          </w:tcPr>
          <w:p w14:paraId="145203A2" w14:textId="77777777" w:rsidR="002564F9" w:rsidRPr="00E3294E" w:rsidRDefault="00175322" w:rsidP="002564F9">
            <w:pPr>
              <w:pStyle w:val="Listenabsatz"/>
              <w:spacing w:line="276" w:lineRule="auto"/>
            </w:pPr>
            <w:r>
              <w:t>5</w:t>
            </w:r>
          </w:p>
        </w:tc>
      </w:tr>
      <w:tr w:rsidR="004C0D3F" w:rsidRPr="00B148F2" w14:paraId="584B2F12" w14:textId="77777777" w:rsidTr="00F93AD8">
        <w:trPr>
          <w:trHeight w:val="255"/>
        </w:trPr>
        <w:tc>
          <w:tcPr>
            <w:tcW w:w="0" w:type="auto"/>
            <w:tcBorders>
              <w:top w:val="single" w:sz="4" w:space="0" w:color="FFFFFF"/>
              <w:left w:val="single" w:sz="4" w:space="0" w:color="FFFFFF"/>
              <w:bottom w:val="single" w:sz="4" w:space="0" w:color="FFFFFF"/>
              <w:right w:val="single" w:sz="4" w:space="0" w:color="FFFFFF"/>
            </w:tcBorders>
            <w:shd w:val="clear" w:color="000000" w:fill="DBE5F1" w:themeFill="accent1" w:themeFillTint="33"/>
            <w:vAlign w:val="center"/>
            <w:hideMark/>
          </w:tcPr>
          <w:p w14:paraId="359DEE64" w14:textId="77777777" w:rsidR="004C0D3F" w:rsidRPr="00E3294E" w:rsidRDefault="004C0D3F" w:rsidP="004C0D3F">
            <w:pPr>
              <w:pStyle w:val="Listenabsatz"/>
              <w:spacing w:line="276" w:lineRule="auto"/>
            </w:pPr>
            <w:r w:rsidRPr="009D6189">
              <w:rPr>
                <w:rFonts w:cstheme="minorHAnsi"/>
                <w:b/>
              </w:rPr>
              <w:t>Durchschnitt Gesamtzeit</w:t>
            </w:r>
            <w:r w:rsidRPr="00533011">
              <w:rPr>
                <w:rFonts w:cstheme="minorHAnsi"/>
              </w:rPr>
              <w:t xml:space="preserve"> </w:t>
            </w:r>
            <w:r w:rsidRPr="003F3F01">
              <w:rPr>
                <w:rFonts w:cstheme="minorHAnsi"/>
              </w:rPr>
              <w:t>(ev. kürzer als Summe AT da Prozesse parallel)</w:t>
            </w:r>
          </w:p>
        </w:tc>
        <w:tc>
          <w:tcPr>
            <w:tcW w:w="0" w:type="auto"/>
            <w:tcBorders>
              <w:top w:val="single" w:sz="4" w:space="0" w:color="FFFFFF"/>
              <w:left w:val="nil"/>
              <w:bottom w:val="single" w:sz="4" w:space="0" w:color="FFFFFF"/>
              <w:right w:val="single" w:sz="4" w:space="0" w:color="FFFFFF"/>
            </w:tcBorders>
            <w:shd w:val="clear" w:color="000000" w:fill="DBE5F1" w:themeFill="accent1" w:themeFillTint="33"/>
            <w:noWrap/>
            <w:vAlign w:val="center"/>
            <w:hideMark/>
          </w:tcPr>
          <w:p w14:paraId="06CF4308" w14:textId="77777777" w:rsidR="004C0D3F" w:rsidRPr="00B148F2" w:rsidRDefault="00175322" w:rsidP="000A490E">
            <w:pPr>
              <w:pStyle w:val="Listenabsatz"/>
              <w:spacing w:line="276" w:lineRule="auto"/>
              <w:rPr>
                <w:b/>
              </w:rPr>
            </w:pPr>
            <w:proofErr w:type="spellStart"/>
            <w:r w:rsidRPr="00B148F2">
              <w:rPr>
                <w:b/>
              </w:rPr>
              <w:t>Mind</w:t>
            </w:r>
            <w:proofErr w:type="spellEnd"/>
            <w:r w:rsidRPr="00B148F2">
              <w:rPr>
                <w:b/>
              </w:rPr>
              <w:t xml:space="preserve"> </w:t>
            </w:r>
            <w:r w:rsidR="000A490E">
              <w:rPr>
                <w:b/>
              </w:rPr>
              <w:t>14</w:t>
            </w:r>
          </w:p>
        </w:tc>
      </w:tr>
      <w:tr w:rsidR="004C0D3F" w:rsidRPr="00C46FB6" w14:paraId="117027CA" w14:textId="77777777" w:rsidTr="00F93AD8">
        <w:trPr>
          <w:trHeight w:val="255"/>
        </w:trPr>
        <w:tc>
          <w:tcPr>
            <w:tcW w:w="0" w:type="auto"/>
            <w:tcBorders>
              <w:top w:val="single" w:sz="4" w:space="0" w:color="FFFFFF"/>
              <w:left w:val="single" w:sz="4" w:space="0" w:color="FFFFFF"/>
              <w:bottom w:val="single" w:sz="4" w:space="0" w:color="FFFFFF"/>
              <w:right w:val="single" w:sz="4" w:space="0" w:color="FFFFFF"/>
            </w:tcBorders>
            <w:shd w:val="clear" w:color="000000" w:fill="FFFFFF"/>
            <w:vAlign w:val="center"/>
            <w:hideMark/>
          </w:tcPr>
          <w:p w14:paraId="5759A2F9" w14:textId="77777777" w:rsidR="00175322" w:rsidRPr="00C46FB6" w:rsidRDefault="004C0D3F" w:rsidP="004C0D3F">
            <w:pPr>
              <w:spacing w:line="276" w:lineRule="auto"/>
              <w:rPr>
                <w:sz w:val="16"/>
                <w:szCs w:val="16"/>
              </w:rPr>
            </w:pPr>
            <w:r>
              <w:rPr>
                <w:sz w:val="16"/>
                <w:szCs w:val="16"/>
              </w:rPr>
              <w:t>*</w:t>
            </w:r>
            <w:r w:rsidR="006F1A1F">
              <w:rPr>
                <w:sz w:val="16"/>
                <w:szCs w:val="16"/>
              </w:rPr>
              <w:t xml:space="preserve"> AT= Arbeitstage sind </w:t>
            </w:r>
            <w:r w:rsidR="006F1A1F" w:rsidRPr="00EF4434">
              <w:rPr>
                <w:sz w:val="16"/>
                <w:szCs w:val="16"/>
              </w:rPr>
              <w:t>Erfahrungswerte als Orientierungshilfe</w:t>
            </w:r>
          </w:p>
        </w:tc>
        <w:tc>
          <w:tcPr>
            <w:tcW w:w="0" w:type="auto"/>
            <w:tcBorders>
              <w:top w:val="single" w:sz="4" w:space="0" w:color="FFFFFF"/>
              <w:left w:val="nil"/>
              <w:bottom w:val="single" w:sz="4" w:space="0" w:color="FFFFFF"/>
              <w:right w:val="single" w:sz="4" w:space="0" w:color="FFFFFF"/>
            </w:tcBorders>
            <w:shd w:val="clear" w:color="000000" w:fill="FFFFFF"/>
            <w:noWrap/>
            <w:vAlign w:val="center"/>
            <w:hideMark/>
          </w:tcPr>
          <w:p w14:paraId="24CE17B4" w14:textId="77777777" w:rsidR="004C0D3F" w:rsidRPr="00C46FB6" w:rsidRDefault="004C0D3F" w:rsidP="004C0D3F">
            <w:pPr>
              <w:pStyle w:val="Listenabsatz"/>
              <w:spacing w:line="276" w:lineRule="auto"/>
              <w:rPr>
                <w:sz w:val="16"/>
                <w:szCs w:val="16"/>
              </w:rPr>
            </w:pPr>
            <w:r w:rsidRPr="00C46FB6">
              <w:rPr>
                <w:sz w:val="16"/>
                <w:szCs w:val="16"/>
              </w:rPr>
              <w:t> </w:t>
            </w:r>
          </w:p>
        </w:tc>
      </w:tr>
      <w:tr w:rsidR="004C0D3F" w:rsidRPr="00814E99" w14:paraId="147A4951" w14:textId="77777777" w:rsidTr="004C0D3F">
        <w:trPr>
          <w:trHeight w:val="255"/>
        </w:trPr>
        <w:tc>
          <w:tcPr>
            <w:tcW w:w="0" w:type="auto"/>
            <w:tcBorders>
              <w:top w:val="single" w:sz="4" w:space="0" w:color="FFFFFF"/>
              <w:left w:val="single" w:sz="4" w:space="0" w:color="FFFFFF"/>
              <w:bottom w:val="single" w:sz="4" w:space="0" w:color="FFFFFF"/>
              <w:right w:val="single" w:sz="4" w:space="0" w:color="FFFFFF"/>
            </w:tcBorders>
            <w:shd w:val="clear" w:color="000000" w:fill="FFFFFF"/>
            <w:vAlign w:val="center"/>
          </w:tcPr>
          <w:p w14:paraId="16B32A3B" w14:textId="77777777" w:rsidR="004C0D3F" w:rsidRPr="00814E99" w:rsidRDefault="004C0D3F" w:rsidP="00F93AD8">
            <w:pPr>
              <w:pStyle w:val="Listenabsatz"/>
              <w:spacing w:line="276" w:lineRule="auto"/>
              <w:ind w:left="0"/>
              <w:rPr>
                <w:sz w:val="16"/>
                <w:szCs w:val="16"/>
              </w:rPr>
            </w:pPr>
          </w:p>
        </w:tc>
        <w:tc>
          <w:tcPr>
            <w:tcW w:w="0" w:type="auto"/>
            <w:tcBorders>
              <w:top w:val="single" w:sz="4" w:space="0" w:color="FFFFFF"/>
              <w:left w:val="nil"/>
              <w:bottom w:val="single" w:sz="4" w:space="0" w:color="FFFFFF"/>
              <w:right w:val="single" w:sz="4" w:space="0" w:color="FFFFFF"/>
            </w:tcBorders>
            <w:shd w:val="clear" w:color="000000" w:fill="FFFFFF"/>
            <w:noWrap/>
            <w:vAlign w:val="center"/>
          </w:tcPr>
          <w:p w14:paraId="7267D599" w14:textId="77777777" w:rsidR="004C0D3F" w:rsidRPr="00814E99" w:rsidRDefault="004C0D3F" w:rsidP="004C0D3F">
            <w:pPr>
              <w:pStyle w:val="Listenabsatz"/>
              <w:spacing w:line="276" w:lineRule="auto"/>
              <w:rPr>
                <w:sz w:val="16"/>
                <w:szCs w:val="16"/>
              </w:rPr>
            </w:pPr>
          </w:p>
        </w:tc>
      </w:tr>
    </w:tbl>
    <w:p w14:paraId="325B7048" w14:textId="77777777" w:rsidR="00175322" w:rsidRDefault="00175322" w:rsidP="00955CF5">
      <w:pPr>
        <w:keepNext/>
        <w:rPr>
          <w:b/>
        </w:rPr>
      </w:pPr>
      <w:r>
        <w:rPr>
          <w:b/>
        </w:rPr>
        <w:t>Tipps und Hinweise</w:t>
      </w:r>
    </w:p>
    <w:p w14:paraId="78EF5B69" w14:textId="77777777" w:rsidR="003E5FAB" w:rsidRDefault="003E5FAB">
      <w:pPr>
        <w:keepNext/>
      </w:pPr>
      <w:r>
        <w:t xml:space="preserve">Je schneller Ihr Unternehmen alle vertrags- und fahrplantechnisch relevanten Daten einbringt, umso schneller kann die </w:t>
      </w:r>
      <w:proofErr w:type="spellStart"/>
      <w:r>
        <w:t>OeMAG</w:t>
      </w:r>
      <w:proofErr w:type="spellEnd"/>
      <w:r>
        <w:t xml:space="preserve"> Ihr Vertragsexemplar erstellen und Sie in ihrem System als Kunde anlegen. </w:t>
      </w:r>
    </w:p>
    <w:p w14:paraId="1192C282" w14:textId="77777777" w:rsidR="00175322" w:rsidRPr="00F93AD8" w:rsidRDefault="00175322" w:rsidP="00955CF5">
      <w:pPr>
        <w:keepNext/>
        <w:rPr>
          <w:u w:val="single"/>
          <w:lang w:val="de-DE"/>
        </w:rPr>
      </w:pPr>
    </w:p>
    <w:bookmarkEnd w:id="59"/>
    <w:bookmarkEnd w:id="61"/>
    <w:bookmarkEnd w:id="62"/>
    <w:p w14:paraId="463CB657" w14:textId="77777777" w:rsidR="0000091E" w:rsidRDefault="0000091E" w:rsidP="00955CF5">
      <w:pPr>
        <w:keepNext/>
        <w:rPr>
          <w:rFonts w:asciiTheme="majorHAnsi" w:eastAsiaTheme="majorEastAsia" w:hAnsiTheme="majorHAnsi" w:cstheme="majorBidi"/>
          <w:b/>
          <w:bCs/>
          <w:color w:val="365F91" w:themeColor="accent1" w:themeShade="BF"/>
          <w:sz w:val="28"/>
          <w:szCs w:val="28"/>
        </w:rPr>
      </w:pPr>
      <w:r>
        <w:br w:type="page"/>
      </w:r>
    </w:p>
    <w:p w14:paraId="222BFB87" w14:textId="77777777" w:rsidR="0000091E" w:rsidRDefault="0000091E" w:rsidP="00494F61">
      <w:pPr>
        <w:pStyle w:val="berschrift1"/>
      </w:pPr>
      <w:bookmarkStart w:id="63" w:name="_Toc379201265"/>
      <w:bookmarkStart w:id="64" w:name="_Toc31376454"/>
      <w:r>
        <w:lastRenderedPageBreak/>
        <w:t>Erledigungen laufend WÄHREND Geschäftstätigkeit</w:t>
      </w:r>
      <w:bookmarkEnd w:id="63"/>
      <w:bookmarkEnd w:id="64"/>
    </w:p>
    <w:p w14:paraId="0C5D2E4E" w14:textId="77777777" w:rsidR="009864A3" w:rsidRPr="009864A3" w:rsidRDefault="009864A3" w:rsidP="009864A3"/>
    <w:p w14:paraId="6DC62C04" w14:textId="77777777" w:rsidR="0000091E" w:rsidRDefault="0000091E" w:rsidP="00744141">
      <w:pPr>
        <w:pStyle w:val="berschrift2"/>
        <w:keepNext/>
        <w:keepLines/>
        <w:widowControl/>
        <w:numPr>
          <w:ilvl w:val="0"/>
          <w:numId w:val="24"/>
        </w:numPr>
        <w:overflowPunct/>
        <w:autoSpaceDE/>
        <w:autoSpaceDN/>
        <w:adjustRightInd/>
        <w:spacing w:before="200" w:after="0" w:line="480" w:lineRule="auto"/>
        <w:jc w:val="left"/>
        <w:textAlignment w:val="auto"/>
      </w:pPr>
      <w:bookmarkStart w:id="65" w:name="_Toc353968607"/>
      <w:bookmarkStart w:id="66" w:name="_Toc353977194"/>
      <w:bookmarkStart w:id="67" w:name="_Toc353977340"/>
      <w:bookmarkStart w:id="68" w:name="_Toc353979566"/>
      <w:bookmarkStart w:id="69" w:name="_Toc379201266"/>
      <w:bookmarkStart w:id="70" w:name="_Toc31376455"/>
      <w:bookmarkStart w:id="71" w:name="_Toc353353913"/>
      <w:bookmarkStart w:id="72" w:name="_Ref363063717"/>
      <w:bookmarkEnd w:id="65"/>
      <w:bookmarkEnd w:id="66"/>
      <w:bookmarkEnd w:id="67"/>
      <w:bookmarkEnd w:id="68"/>
      <w:r>
        <w:t>Tarifkalkulator</w:t>
      </w:r>
      <w:r w:rsidR="005B3AC8">
        <w:t>en</w:t>
      </w:r>
      <w:r>
        <w:t xml:space="preserve"> – Datenpflege</w:t>
      </w:r>
      <w:bookmarkEnd w:id="69"/>
      <w:bookmarkEnd w:id="70"/>
      <w:r>
        <w:t xml:space="preserve"> </w:t>
      </w:r>
    </w:p>
    <w:p w14:paraId="669392CE" w14:textId="77777777" w:rsidR="009864A3" w:rsidRDefault="009864A3" w:rsidP="0000091E">
      <w:pPr>
        <w:rPr>
          <w:b/>
        </w:rPr>
      </w:pPr>
    </w:p>
    <w:p w14:paraId="4673E4B1" w14:textId="77777777" w:rsidR="0000091E" w:rsidRPr="00A04EB4" w:rsidRDefault="0000091E" w:rsidP="0000091E">
      <w:pPr>
        <w:rPr>
          <w:b/>
        </w:rPr>
      </w:pPr>
      <w:r w:rsidRPr="00A04EB4">
        <w:rPr>
          <w:b/>
        </w:rPr>
        <w:t>Rechtliche Grundlage</w:t>
      </w:r>
    </w:p>
    <w:p w14:paraId="67193DCE" w14:textId="77777777" w:rsidR="0000091E" w:rsidRDefault="00F26E1C" w:rsidP="0000091E">
      <w:hyperlink r:id="rId112" w:history="1">
        <w:r w:rsidR="0000091E" w:rsidRPr="00C46FB6">
          <w:rPr>
            <w:rStyle w:val="Hyperlink"/>
          </w:rPr>
          <w:t xml:space="preserve">§ 65 Abs. 2 </w:t>
        </w:r>
        <w:proofErr w:type="spellStart"/>
        <w:r w:rsidR="0000091E" w:rsidRPr="00C46FB6">
          <w:rPr>
            <w:rStyle w:val="Hyperlink"/>
          </w:rPr>
          <w:t>ElWOG</w:t>
        </w:r>
        <w:proofErr w:type="spellEnd"/>
        <w:r w:rsidR="0000091E" w:rsidRPr="00C46FB6">
          <w:rPr>
            <w:rStyle w:val="Hyperlink"/>
          </w:rPr>
          <w:t xml:space="preserve"> 2010</w:t>
        </w:r>
      </w:hyperlink>
    </w:p>
    <w:p w14:paraId="4E64EA11" w14:textId="77777777" w:rsidR="009864A3" w:rsidRDefault="009864A3" w:rsidP="0000091E">
      <w:pPr>
        <w:rPr>
          <w:b/>
        </w:rPr>
      </w:pPr>
    </w:p>
    <w:p w14:paraId="10746D0A" w14:textId="77777777" w:rsidR="0000091E" w:rsidRPr="00A04EB4" w:rsidRDefault="0000091E" w:rsidP="0000091E">
      <w:pPr>
        <w:rPr>
          <w:b/>
        </w:rPr>
      </w:pPr>
      <w:r w:rsidRPr="00A04EB4">
        <w:rPr>
          <w:b/>
        </w:rPr>
        <w:t>Kurzbeschreibung</w:t>
      </w:r>
    </w:p>
    <w:p w14:paraId="5D87CA75" w14:textId="77777777" w:rsidR="00381B4C" w:rsidRDefault="0000091E" w:rsidP="00381B4C">
      <w:r>
        <w:t xml:space="preserve">Stromlieferanten, die </w:t>
      </w:r>
      <w:r w:rsidR="00381B4C">
        <w:t xml:space="preserve">Endverbraucher beliefern, sind verpflichtet, sämtliche preisrelevanten Daten für mit Standardprodukten versorgte Endverbraucher </w:t>
      </w:r>
      <w:r>
        <w:t xml:space="preserve">(Jahresverbrauch bis zu 100.000 kWh Strom) </w:t>
      </w:r>
      <w:r w:rsidR="00381B4C">
        <w:t>unverzüglich nach ihrer Verfügbarkeit der Regulierungsbehörde in einer von dieser vorgegebenen elektronischen Form für die Eingabe in den Tarifkalkulator zu übermitteln. Im Tarifkalkulator der Regulierungsbehörde sind alle Wettbewerber gleich zu behandeln und alle der Regulierungsbehörde zur Verfügung gestellten Konditionen transparent und nichtdiskriminierend zu veröffentlichen.</w:t>
      </w:r>
    </w:p>
    <w:p w14:paraId="3D6EE2B0" w14:textId="77777777" w:rsidR="0000091E" w:rsidRDefault="00381B4C" w:rsidP="00381B4C">
      <w:bookmarkStart w:id="73" w:name="_Hlk499732749"/>
      <w:r>
        <w:t>Die Datenübermittlung erfolgt i</w:t>
      </w:r>
      <w:r w:rsidR="00F240E0">
        <w:t>n der</w:t>
      </w:r>
      <w:r>
        <w:t xml:space="preserve"> speziell hierzu entwickelten </w:t>
      </w:r>
      <w:r w:rsidR="00F240E0">
        <w:t xml:space="preserve">Applikation TK-Admin </w:t>
      </w:r>
      <w:r>
        <w:t>der Regulierungsbehörde</w:t>
      </w:r>
      <w:bookmarkEnd w:id="73"/>
      <w:r>
        <w:t xml:space="preserve">, wo Sie neue Daten als auch Änderungen einpflegen. Eine Registrierung für den Tarifkalkulator sollte bereits vor Beginn Ihrer Geschäftstätigkeit erfolgt sein </w:t>
      </w:r>
      <w:r w:rsidR="0000091E">
        <w:t>(siehe hierzu</w:t>
      </w:r>
      <w:r w:rsidR="00F73D7E">
        <w:t xml:space="preserve"> Kap.</w:t>
      </w:r>
      <w:r w:rsidR="0000091E">
        <w:t xml:space="preserve"> </w:t>
      </w:r>
      <w:r w:rsidR="00C63271">
        <w:fldChar w:fldCharType="begin"/>
      </w:r>
      <w:r w:rsidR="0000091E">
        <w:instrText xml:space="preserve"> REF _Ref375217593 \h </w:instrText>
      </w:r>
      <w:r w:rsidR="00C63271">
        <w:fldChar w:fldCharType="separate"/>
      </w:r>
      <w:r w:rsidR="0008678F">
        <w:t>Tarifkalkulator</w:t>
      </w:r>
      <w:r w:rsidR="005B3AC8">
        <w:t>en</w:t>
      </w:r>
      <w:r w:rsidR="0008678F">
        <w:t xml:space="preserve"> – Registrierung</w:t>
      </w:r>
      <w:r w:rsidR="00C63271">
        <w:fldChar w:fldCharType="end"/>
      </w:r>
      <w:r w:rsidR="0000091E">
        <w:t>).</w:t>
      </w:r>
    </w:p>
    <w:p w14:paraId="61FB6143" w14:textId="77777777" w:rsidR="009864A3" w:rsidRDefault="009864A3" w:rsidP="0000091E">
      <w:pPr>
        <w:rPr>
          <w:b/>
        </w:rPr>
      </w:pPr>
    </w:p>
    <w:p w14:paraId="03CF33B1" w14:textId="77777777" w:rsidR="0000091E" w:rsidRPr="00736F66" w:rsidRDefault="0000091E" w:rsidP="0000091E">
      <w:pPr>
        <w:rPr>
          <w:b/>
        </w:rPr>
      </w:pPr>
      <w:r w:rsidRPr="00736F66">
        <w:rPr>
          <w:b/>
        </w:rPr>
        <w:t>Handlungsanweisung</w:t>
      </w:r>
    </w:p>
    <w:p w14:paraId="3EFEB371" w14:textId="0C22C65A" w:rsidR="00EF4586" w:rsidRDefault="007146A7" w:rsidP="00EF4586">
      <w:bookmarkStart w:id="74" w:name="_Hlk499732783"/>
      <w:r>
        <w:t xml:space="preserve">Sämtliche Informationen, die in die TK-Admin eingepflegt werden (Produktdaten, Stromkennzeichnung, Kontaktdaten eines Lieferanten und seiner Marke) werden von der E-Control geprüft. </w:t>
      </w:r>
      <w:r w:rsidR="00F240E0">
        <w:t xml:space="preserve">Darüber hinaus unterliegen </w:t>
      </w:r>
      <w:r w:rsidR="00EF4586">
        <w:t xml:space="preserve">alle </w:t>
      </w:r>
      <w:r w:rsidR="00F240E0">
        <w:t>produktbezogenen Daten einem Freigabe-Prozess</w:t>
      </w:r>
      <w:r w:rsidR="00EF4586">
        <w:t>. Dies dient der allgemeinen Datenqualität. Dabei wird die Korrektheit der Daten und ihre Übereinstimmung mit dem Informationsmaterial geprüft. Ferner wird geprüft, ob die Dateneingabe entsprechend den Tarifkalkulator Richtlinien</w:t>
      </w:r>
      <w:r w:rsidR="001777C6">
        <w:t>,</w:t>
      </w:r>
      <w:r w:rsidR="00EF4586">
        <w:t xml:space="preserve"> wie z.B. </w:t>
      </w:r>
      <w:r w:rsidR="001777C6">
        <w:t xml:space="preserve">betreffend </w:t>
      </w:r>
      <w:r w:rsidR="00EF4586">
        <w:t>Rabattkategorisierung u.dgl.</w:t>
      </w:r>
      <w:r w:rsidR="001777C6">
        <w:t xml:space="preserve">, </w:t>
      </w:r>
      <w:r w:rsidR="00EF4586">
        <w:t xml:space="preserve">erfolgt ist. </w:t>
      </w:r>
    </w:p>
    <w:p w14:paraId="4C36BAFC" w14:textId="77777777" w:rsidR="00EF4586" w:rsidRDefault="00EF4586" w:rsidP="00EF4586"/>
    <w:p w14:paraId="6AB03394" w14:textId="0F3D2D59" w:rsidR="00EF4586" w:rsidRDefault="00EF4586" w:rsidP="00EF4586">
      <w:r>
        <w:t>Durch das Anklicken der Schaltfläche „Freigabe anfordern“</w:t>
      </w:r>
      <w:r w:rsidR="00F240E0">
        <w:t xml:space="preserve"> </w:t>
      </w:r>
      <w:r w:rsidR="00A5411D">
        <w:t>in der</w:t>
      </w:r>
      <w:r w:rsidR="00F240E0">
        <w:t xml:space="preserve"> TK-Admin </w:t>
      </w:r>
      <w:r>
        <w:t>wird d</w:t>
      </w:r>
      <w:r w:rsidR="001777C6">
        <w:t xml:space="preserve">er </w:t>
      </w:r>
      <w:r>
        <w:t xml:space="preserve">Freigabe- Prozess gestartet und die Daten werden spätestens nach fünf Arbeitstagen freigegeben </w:t>
      </w:r>
      <w:r w:rsidRPr="00297522">
        <w:t>oder mit dem Hinweis auf Korrektur abgelehnt</w:t>
      </w:r>
      <w:r>
        <w:t xml:space="preserve">. </w:t>
      </w:r>
    </w:p>
    <w:p w14:paraId="04B7B366" w14:textId="4052D0CC" w:rsidR="00F240E0" w:rsidRDefault="00EF4586" w:rsidP="00EF4586">
      <w:r>
        <w:t xml:space="preserve">Technische Hilfe bei der Eingabe bietet Ihnen die </w:t>
      </w:r>
      <w:r w:rsidRPr="00EF4586">
        <w:t>Bedienungsanleitung Tarifkalkulator – Administration für Lieferanten</w:t>
      </w:r>
      <w:r>
        <w:t xml:space="preserve">. </w:t>
      </w:r>
      <w:r w:rsidRPr="00EF4586">
        <w:t xml:space="preserve">Die Tarifkalkulator Richtlinien stellen das Regelwerk dar, das eine einheitliche Betreuung und Datenpflege sowie eine einheitliche Berechnungsbasis und </w:t>
      </w:r>
      <w:r w:rsidRPr="00EF4586">
        <w:lastRenderedPageBreak/>
        <w:t>transparente Darstellung im Tarifkalkulator gewährleistet</w:t>
      </w:r>
      <w:r>
        <w:t xml:space="preserve"> und somit sind diese bei der Dateneingabe </w:t>
      </w:r>
      <w:r w:rsidR="00F240E0">
        <w:t xml:space="preserve">insbesondere </w:t>
      </w:r>
      <w:r>
        <w:t>zu beachten</w:t>
      </w:r>
      <w:r w:rsidRPr="00EF4586">
        <w:t>.</w:t>
      </w:r>
      <w:r w:rsidR="00F240E0" w:rsidRPr="00F240E0">
        <w:t xml:space="preserve"> </w:t>
      </w:r>
      <w:r w:rsidR="00F240E0">
        <w:t xml:space="preserve">Beide Dokumente sind unter </w:t>
      </w:r>
      <w:hyperlink r:id="rId113" w:history="1">
        <w:r w:rsidR="00F240E0" w:rsidRPr="00CA3D5D">
          <w:rPr>
            <w:rStyle w:val="Hyperlink"/>
          </w:rPr>
          <w:t>https://www.e-control.at/marktteilnehmer/infos/tarifkalkulator</w:t>
        </w:r>
      </w:hyperlink>
      <w:bookmarkEnd w:id="74"/>
      <w:r w:rsidR="00F240E0">
        <w:t xml:space="preserve"> zu finden. </w:t>
      </w:r>
    </w:p>
    <w:p w14:paraId="166A027C" w14:textId="77777777" w:rsidR="005D0B88" w:rsidRDefault="005D0B88" w:rsidP="0000091E"/>
    <w:p w14:paraId="7BEE0BE3" w14:textId="1DCB88B0" w:rsidR="0000091E" w:rsidRDefault="0000091E" w:rsidP="0000091E">
      <w:r>
        <w:t xml:space="preserve">Kontakt: </w:t>
      </w:r>
      <w:hyperlink r:id="rId114" w:history="1">
        <w:r w:rsidRPr="00404DFC">
          <w:rPr>
            <w:rStyle w:val="Hyperlink"/>
          </w:rPr>
          <w:t>tarifkalkulator@e-control.at</w:t>
        </w:r>
      </w:hyperlink>
      <w:r>
        <w:t xml:space="preserve"> und unter: 01/24724 DW 701</w:t>
      </w:r>
      <w:r w:rsidR="00185D6B">
        <w:t>,</w:t>
      </w:r>
      <w:r>
        <w:t xml:space="preserve"> DW </w:t>
      </w:r>
      <w:r w:rsidR="00015491">
        <w:t>723</w:t>
      </w:r>
      <w:r w:rsidR="00185D6B">
        <w:t xml:space="preserve"> oder DW 724</w:t>
      </w:r>
    </w:p>
    <w:p w14:paraId="764AF02F" w14:textId="77777777" w:rsidR="0000091E" w:rsidRDefault="0000091E" w:rsidP="0000091E"/>
    <w:tbl>
      <w:tblPr>
        <w:tblW w:w="0" w:type="auto"/>
        <w:tblInd w:w="55" w:type="dxa"/>
        <w:tblCellMar>
          <w:left w:w="70" w:type="dxa"/>
          <w:right w:w="70" w:type="dxa"/>
        </w:tblCellMar>
        <w:tblLook w:val="04A0" w:firstRow="1" w:lastRow="0" w:firstColumn="1" w:lastColumn="0" w:noHBand="0" w:noVBand="1"/>
      </w:tblPr>
      <w:tblGrid>
        <w:gridCol w:w="7464"/>
        <w:gridCol w:w="1460"/>
      </w:tblGrid>
      <w:tr w:rsidR="0000091E" w:rsidRPr="002B40C4" w14:paraId="5F3ABAFB" w14:textId="77777777" w:rsidTr="00E808A8">
        <w:trPr>
          <w:trHeight w:val="255"/>
        </w:trPr>
        <w:tc>
          <w:tcPr>
            <w:tcW w:w="0" w:type="auto"/>
            <w:tcBorders>
              <w:top w:val="nil"/>
              <w:left w:val="nil"/>
              <w:right w:val="nil"/>
            </w:tcBorders>
            <w:shd w:val="clear" w:color="000000" w:fill="95B3D7"/>
            <w:noWrap/>
            <w:vAlign w:val="center"/>
            <w:hideMark/>
          </w:tcPr>
          <w:p w14:paraId="33ED2A7E" w14:textId="77777777" w:rsidR="0000091E" w:rsidRPr="002B40C4" w:rsidRDefault="0000091E" w:rsidP="00E808A8">
            <w:pPr>
              <w:pStyle w:val="Listenabsatz"/>
              <w:spacing w:line="276" w:lineRule="auto"/>
              <w:rPr>
                <w:b/>
              </w:rPr>
            </w:pPr>
            <w:r w:rsidRPr="002B40C4">
              <w:rPr>
                <w:b/>
              </w:rPr>
              <w:t xml:space="preserve"> Checkliste </w:t>
            </w:r>
            <w:r w:rsidR="009D6189" w:rsidRPr="002B40C4">
              <w:rPr>
                <w:b/>
              </w:rPr>
              <w:t xml:space="preserve">– </w:t>
            </w:r>
            <w:r w:rsidRPr="002B40C4">
              <w:rPr>
                <w:b/>
              </w:rPr>
              <w:t>Tarifkalkulator</w:t>
            </w:r>
            <w:r w:rsidR="009D6189" w:rsidRPr="002B40C4">
              <w:rPr>
                <w:b/>
              </w:rPr>
              <w:t xml:space="preserve"> Pflege</w:t>
            </w:r>
          </w:p>
        </w:tc>
        <w:tc>
          <w:tcPr>
            <w:tcW w:w="0" w:type="auto"/>
            <w:tcBorders>
              <w:top w:val="nil"/>
              <w:left w:val="nil"/>
              <w:right w:val="nil"/>
            </w:tcBorders>
            <w:shd w:val="clear" w:color="000000" w:fill="95B3D7"/>
            <w:noWrap/>
            <w:vAlign w:val="center"/>
            <w:hideMark/>
          </w:tcPr>
          <w:p w14:paraId="2C840183" w14:textId="77777777" w:rsidR="0000091E" w:rsidRPr="002B40C4" w:rsidRDefault="00DE5C6F" w:rsidP="00E808A8">
            <w:pPr>
              <w:pStyle w:val="Listenabsatz"/>
              <w:spacing w:line="276" w:lineRule="auto"/>
              <w:rPr>
                <w:b/>
              </w:rPr>
            </w:pPr>
            <w:r w:rsidRPr="002B40C4">
              <w:rPr>
                <w:b/>
              </w:rPr>
              <w:t>AT*</w:t>
            </w:r>
          </w:p>
        </w:tc>
      </w:tr>
      <w:tr w:rsidR="0000091E" w:rsidRPr="000A4420" w14:paraId="25EC4610" w14:textId="77777777" w:rsidTr="00E808A8">
        <w:trPr>
          <w:trHeight w:val="255"/>
        </w:trPr>
        <w:tc>
          <w:tcPr>
            <w:tcW w:w="0" w:type="auto"/>
            <w:tcBorders>
              <w:top w:val="nil"/>
              <w:left w:val="single" w:sz="4" w:space="0" w:color="FFFFFF"/>
              <w:bottom w:val="single" w:sz="4" w:space="0" w:color="FFFFFF"/>
              <w:right w:val="single" w:sz="4" w:space="0" w:color="FFFFFF"/>
            </w:tcBorders>
            <w:shd w:val="clear" w:color="auto" w:fill="C6D9F1" w:themeFill="text2" w:themeFillTint="33"/>
            <w:noWrap/>
            <w:vAlign w:val="center"/>
            <w:hideMark/>
          </w:tcPr>
          <w:p w14:paraId="6B241875" w14:textId="77777777" w:rsidR="0000091E" w:rsidRPr="000A4420" w:rsidRDefault="0000091E">
            <w:pPr>
              <w:pStyle w:val="Listenabsatz"/>
              <w:spacing w:line="276" w:lineRule="auto"/>
            </w:pPr>
            <w:r w:rsidRPr="000A4420">
              <w:t>Dauer Einpflege der preisrelevanten Daten eines Produkte</w:t>
            </w:r>
            <w:r w:rsidR="00000308">
              <w:t>s</w:t>
            </w:r>
          </w:p>
        </w:tc>
        <w:tc>
          <w:tcPr>
            <w:tcW w:w="0" w:type="auto"/>
            <w:tcBorders>
              <w:top w:val="nil"/>
              <w:left w:val="nil"/>
              <w:bottom w:val="single" w:sz="4" w:space="0" w:color="FFFFFF"/>
              <w:right w:val="single" w:sz="4" w:space="0" w:color="FFFFFF"/>
            </w:tcBorders>
            <w:shd w:val="clear" w:color="auto" w:fill="C6D9F1" w:themeFill="text2" w:themeFillTint="33"/>
            <w:noWrap/>
            <w:vAlign w:val="center"/>
            <w:hideMark/>
          </w:tcPr>
          <w:p w14:paraId="62CB2235" w14:textId="77777777" w:rsidR="0000091E" w:rsidRPr="000A4420" w:rsidRDefault="0000091E" w:rsidP="00E808A8">
            <w:pPr>
              <w:pStyle w:val="Listenabsatz"/>
              <w:spacing w:line="276" w:lineRule="auto"/>
            </w:pPr>
            <w:r w:rsidRPr="000A4420">
              <w:t>0,5</w:t>
            </w:r>
            <w:r w:rsidR="007117BE">
              <w:t>*‘*</w:t>
            </w:r>
          </w:p>
        </w:tc>
      </w:tr>
      <w:tr w:rsidR="0000091E" w:rsidRPr="000A4420" w14:paraId="6EB68E5C" w14:textId="77777777" w:rsidTr="00E808A8">
        <w:trPr>
          <w:trHeight w:val="255"/>
        </w:trPr>
        <w:tc>
          <w:tcPr>
            <w:tcW w:w="0" w:type="auto"/>
            <w:tcBorders>
              <w:top w:val="single" w:sz="4" w:space="0" w:color="FFFFFF"/>
              <w:left w:val="single" w:sz="4" w:space="0" w:color="FFFFFF"/>
              <w:bottom w:val="single" w:sz="4" w:space="0" w:color="FFFFFF"/>
              <w:right w:val="single" w:sz="4" w:space="0" w:color="FFFFFF"/>
            </w:tcBorders>
            <w:shd w:val="clear" w:color="auto" w:fill="B8CCE4" w:themeFill="accent1" w:themeFillTint="66"/>
            <w:vAlign w:val="center"/>
            <w:hideMark/>
          </w:tcPr>
          <w:p w14:paraId="7448A27C" w14:textId="77777777" w:rsidR="0000091E" w:rsidRPr="000A4420" w:rsidRDefault="0000091E" w:rsidP="00E808A8">
            <w:pPr>
              <w:pStyle w:val="Listenabsatz"/>
              <w:spacing w:line="276" w:lineRule="auto"/>
            </w:pPr>
            <w:r w:rsidRPr="000A4420">
              <w:t>Freigabe der eingepflegten Daten seitens E-Control</w:t>
            </w:r>
          </w:p>
        </w:tc>
        <w:tc>
          <w:tcPr>
            <w:tcW w:w="0" w:type="auto"/>
            <w:tcBorders>
              <w:top w:val="single" w:sz="4" w:space="0" w:color="FFFFFF"/>
              <w:left w:val="nil"/>
              <w:bottom w:val="single" w:sz="4" w:space="0" w:color="FFFFFF"/>
              <w:right w:val="single" w:sz="4" w:space="0" w:color="FFFFFF"/>
            </w:tcBorders>
            <w:shd w:val="clear" w:color="auto" w:fill="B8CCE4" w:themeFill="accent1" w:themeFillTint="66"/>
            <w:noWrap/>
            <w:vAlign w:val="center"/>
            <w:hideMark/>
          </w:tcPr>
          <w:p w14:paraId="218E649D" w14:textId="77777777" w:rsidR="0000091E" w:rsidRPr="000A4420" w:rsidRDefault="0000091E" w:rsidP="00E808A8">
            <w:pPr>
              <w:pStyle w:val="Listenabsatz"/>
              <w:spacing w:line="276" w:lineRule="auto"/>
            </w:pPr>
            <w:proofErr w:type="spellStart"/>
            <w:r w:rsidRPr="000A4420">
              <w:t>max</w:t>
            </w:r>
            <w:proofErr w:type="spellEnd"/>
            <w:r w:rsidRPr="000A4420">
              <w:t xml:space="preserve"> 5</w:t>
            </w:r>
          </w:p>
        </w:tc>
      </w:tr>
      <w:tr w:rsidR="0000091E" w:rsidRPr="000A4420" w14:paraId="3274BBD4" w14:textId="77777777" w:rsidTr="00E808A8">
        <w:trPr>
          <w:trHeight w:val="255"/>
        </w:trPr>
        <w:tc>
          <w:tcPr>
            <w:tcW w:w="0" w:type="auto"/>
            <w:tcBorders>
              <w:top w:val="single" w:sz="4" w:space="0" w:color="FFFFFF"/>
              <w:left w:val="single" w:sz="4" w:space="0" w:color="FFFFFF"/>
              <w:bottom w:val="single" w:sz="4" w:space="0" w:color="FFFFFF"/>
              <w:right w:val="single" w:sz="4" w:space="0" w:color="FFFFFF"/>
            </w:tcBorders>
            <w:shd w:val="clear" w:color="000000" w:fill="DAE6F2"/>
            <w:noWrap/>
            <w:vAlign w:val="center"/>
            <w:hideMark/>
          </w:tcPr>
          <w:p w14:paraId="6C804985" w14:textId="77777777" w:rsidR="0000091E" w:rsidRPr="000A4420" w:rsidRDefault="0000091E" w:rsidP="00E808A8">
            <w:pPr>
              <w:pStyle w:val="Listenabsatz"/>
              <w:spacing w:line="276" w:lineRule="auto"/>
              <w:ind w:left="0"/>
            </w:pPr>
            <w:r w:rsidRPr="002B40C4">
              <w:rPr>
                <w:b/>
              </w:rPr>
              <w:t>Durchschnitt Gesamtzeit</w:t>
            </w:r>
            <w:r w:rsidRPr="000A4420">
              <w:t xml:space="preserve"> (ev. kürzer als Summe AT da Prozesse parallel)</w:t>
            </w:r>
          </w:p>
        </w:tc>
        <w:tc>
          <w:tcPr>
            <w:tcW w:w="0" w:type="auto"/>
            <w:tcBorders>
              <w:top w:val="single" w:sz="4" w:space="0" w:color="FFFFFF"/>
              <w:left w:val="nil"/>
              <w:bottom w:val="single" w:sz="4" w:space="0" w:color="FFFFFF"/>
              <w:right w:val="single" w:sz="4" w:space="0" w:color="FFFFFF"/>
            </w:tcBorders>
            <w:shd w:val="clear" w:color="000000" w:fill="DAE6F2"/>
            <w:noWrap/>
            <w:vAlign w:val="center"/>
            <w:hideMark/>
          </w:tcPr>
          <w:p w14:paraId="109154F4" w14:textId="77777777" w:rsidR="0000091E" w:rsidRPr="000A4420" w:rsidRDefault="0000091E" w:rsidP="00E808A8">
            <w:pPr>
              <w:pStyle w:val="Listenabsatz"/>
              <w:spacing w:line="276" w:lineRule="auto"/>
            </w:pPr>
            <w:r w:rsidRPr="000A4420">
              <w:t>3</w:t>
            </w:r>
          </w:p>
        </w:tc>
      </w:tr>
      <w:tr w:rsidR="0000091E" w:rsidRPr="000A4420" w14:paraId="4AA332EF" w14:textId="77777777" w:rsidTr="00E808A8">
        <w:trPr>
          <w:trHeight w:val="255"/>
        </w:trPr>
        <w:tc>
          <w:tcPr>
            <w:tcW w:w="0" w:type="auto"/>
            <w:tcBorders>
              <w:top w:val="single" w:sz="4" w:space="0" w:color="FFFFFF"/>
              <w:left w:val="single" w:sz="4" w:space="0" w:color="FFFFFF"/>
              <w:bottom w:val="single" w:sz="4" w:space="0" w:color="FFFFFF"/>
              <w:right w:val="single" w:sz="4" w:space="0" w:color="FFFFFF"/>
            </w:tcBorders>
            <w:shd w:val="clear" w:color="000000" w:fill="FFFFFF"/>
            <w:vAlign w:val="center"/>
            <w:hideMark/>
          </w:tcPr>
          <w:p w14:paraId="43568DC8" w14:textId="77777777" w:rsidR="0000091E" w:rsidRPr="000A4420" w:rsidRDefault="0000091E" w:rsidP="00E808A8">
            <w:pPr>
              <w:pStyle w:val="Listenabsatz"/>
              <w:spacing w:line="276" w:lineRule="auto"/>
              <w:ind w:left="0"/>
              <w:rPr>
                <w:sz w:val="16"/>
                <w:szCs w:val="16"/>
              </w:rPr>
            </w:pPr>
            <w:r w:rsidRPr="000A4420">
              <w:rPr>
                <w:sz w:val="16"/>
                <w:szCs w:val="16"/>
              </w:rPr>
              <w:t>*</w:t>
            </w:r>
            <w:r w:rsidR="006F1A1F">
              <w:rPr>
                <w:rFonts w:cs="Arial"/>
                <w:sz w:val="16"/>
                <w:szCs w:val="16"/>
              </w:rPr>
              <w:t xml:space="preserve"> AT= Arbeitstage sind </w:t>
            </w:r>
            <w:r w:rsidR="006F1A1F" w:rsidRPr="00EF4434">
              <w:rPr>
                <w:rFonts w:cs="Arial"/>
                <w:sz w:val="16"/>
                <w:szCs w:val="16"/>
              </w:rPr>
              <w:t>Erfahrungswerte als Orientierungshilfe</w:t>
            </w:r>
            <w:r w:rsidR="007117BE">
              <w:rPr>
                <w:rFonts w:cs="Arial"/>
                <w:sz w:val="16"/>
                <w:szCs w:val="16"/>
              </w:rPr>
              <w:br/>
            </w:r>
            <w:r w:rsidR="007117BE">
              <w:rPr>
                <w:sz w:val="16"/>
                <w:szCs w:val="16"/>
              </w:rPr>
              <w:t>** K</w:t>
            </w:r>
            <w:r w:rsidR="007117BE" w:rsidRPr="000A111F">
              <w:rPr>
                <w:sz w:val="16"/>
                <w:szCs w:val="16"/>
              </w:rPr>
              <w:t>ann je nach Datenmenge deutlich variieren</w:t>
            </w:r>
          </w:p>
        </w:tc>
        <w:tc>
          <w:tcPr>
            <w:tcW w:w="0" w:type="auto"/>
            <w:tcBorders>
              <w:top w:val="nil"/>
              <w:left w:val="nil"/>
              <w:bottom w:val="nil"/>
              <w:right w:val="nil"/>
            </w:tcBorders>
            <w:shd w:val="clear" w:color="auto" w:fill="auto"/>
            <w:noWrap/>
            <w:vAlign w:val="center"/>
            <w:hideMark/>
          </w:tcPr>
          <w:p w14:paraId="6A89FC5C" w14:textId="77777777" w:rsidR="0000091E" w:rsidRPr="000A4420" w:rsidRDefault="0000091E" w:rsidP="00E808A8">
            <w:pPr>
              <w:pStyle w:val="Listenabsatz"/>
              <w:spacing w:line="276" w:lineRule="auto"/>
              <w:rPr>
                <w:sz w:val="16"/>
                <w:szCs w:val="16"/>
              </w:rPr>
            </w:pPr>
          </w:p>
        </w:tc>
      </w:tr>
    </w:tbl>
    <w:p w14:paraId="71E5C8AC" w14:textId="77777777" w:rsidR="0000091E" w:rsidRDefault="0000091E" w:rsidP="0000091E">
      <w:pPr>
        <w:ind w:left="708"/>
        <w:rPr>
          <w:b/>
        </w:rPr>
      </w:pPr>
    </w:p>
    <w:p w14:paraId="17506420" w14:textId="77777777" w:rsidR="0000091E" w:rsidRDefault="0000091E" w:rsidP="0000091E">
      <w:r>
        <w:rPr>
          <w:b/>
        </w:rPr>
        <w:t>Tipps und Hinweise</w:t>
      </w:r>
      <w:r>
        <w:t>:</w:t>
      </w:r>
    </w:p>
    <w:p w14:paraId="021DDA00" w14:textId="1B5B3942" w:rsidR="0000091E" w:rsidRDefault="0000091E" w:rsidP="0000091E">
      <w:r>
        <w:t>Sollte eine zeitnahe Freigabe der eingepflegten Daten benötigt werden, empfehlen wir Ihnen dies rechtzeitig vorab bei der Regulierungsbehörde telefonisch anzukündigen (01/24724 DW 701</w:t>
      </w:r>
      <w:r w:rsidR="00185D6B">
        <w:t>,</w:t>
      </w:r>
      <w:r>
        <w:t xml:space="preserve"> DW </w:t>
      </w:r>
      <w:r w:rsidR="00C16382">
        <w:t>723</w:t>
      </w:r>
      <w:r w:rsidR="00185D6B">
        <w:t xml:space="preserve"> oder DW 724</w:t>
      </w:r>
      <w:r>
        <w:t>)</w:t>
      </w:r>
      <w:r w:rsidR="00F240E0">
        <w:t xml:space="preserve"> </w:t>
      </w:r>
      <w:bookmarkStart w:id="75" w:name="_Hlk499732833"/>
      <w:r w:rsidR="00F240E0">
        <w:t>und zu klären, ob dies aus organisatorischen und zeitlichen Gründen möglich ist</w:t>
      </w:r>
      <w:r>
        <w:t>.</w:t>
      </w:r>
    </w:p>
    <w:bookmarkEnd w:id="75"/>
    <w:p w14:paraId="4E40D238" w14:textId="77777777" w:rsidR="0000091E" w:rsidRPr="00E810CB" w:rsidRDefault="0000091E" w:rsidP="0000091E"/>
    <w:p w14:paraId="27CD8C3C" w14:textId="77777777" w:rsidR="0000091E" w:rsidRDefault="0000091E" w:rsidP="00744141">
      <w:pPr>
        <w:pStyle w:val="berschrift2"/>
        <w:keepNext/>
        <w:keepLines/>
        <w:widowControl/>
        <w:numPr>
          <w:ilvl w:val="0"/>
          <w:numId w:val="24"/>
        </w:numPr>
        <w:overflowPunct/>
        <w:autoSpaceDE/>
        <w:autoSpaceDN/>
        <w:adjustRightInd/>
        <w:spacing w:before="200" w:after="0" w:line="480" w:lineRule="auto"/>
        <w:jc w:val="left"/>
        <w:textAlignment w:val="auto"/>
      </w:pPr>
      <w:bookmarkStart w:id="76" w:name="_Ref378658846"/>
      <w:bookmarkStart w:id="77" w:name="_Toc379201267"/>
      <w:bookmarkStart w:id="78" w:name="_Toc31376456"/>
      <w:r w:rsidRPr="00856227">
        <w:t>Rechnungslegung</w:t>
      </w:r>
      <w:bookmarkEnd w:id="76"/>
      <w:bookmarkEnd w:id="77"/>
      <w:bookmarkEnd w:id="78"/>
      <w:r>
        <w:t xml:space="preserve"> </w:t>
      </w:r>
      <w:bookmarkEnd w:id="71"/>
      <w:bookmarkEnd w:id="72"/>
    </w:p>
    <w:p w14:paraId="138994C5" w14:textId="77777777" w:rsidR="006072F4" w:rsidRDefault="006072F4" w:rsidP="0000091E">
      <w:r>
        <w:rPr>
          <w:b/>
        </w:rPr>
        <w:t>R</w:t>
      </w:r>
      <w:r w:rsidR="0000091E" w:rsidRPr="00736F66">
        <w:rPr>
          <w:b/>
        </w:rPr>
        <w:t>echtlichen Grundlagen</w:t>
      </w:r>
      <w:r w:rsidR="0000091E">
        <w:t xml:space="preserve"> </w:t>
      </w:r>
    </w:p>
    <w:p w14:paraId="201CFB2C" w14:textId="77777777" w:rsidR="006304FF" w:rsidRDefault="00F26E1C" w:rsidP="006304FF">
      <w:hyperlink r:id="rId115" w:history="1">
        <w:r w:rsidR="006304FF" w:rsidRPr="00C46FB6">
          <w:rPr>
            <w:rStyle w:val="Hyperlink"/>
          </w:rPr>
          <w:t xml:space="preserve">§ 81 </w:t>
        </w:r>
        <w:r w:rsidR="006304FF">
          <w:rPr>
            <w:rStyle w:val="Hyperlink"/>
          </w:rPr>
          <w:t xml:space="preserve">und § 82 </w:t>
        </w:r>
        <w:proofErr w:type="spellStart"/>
        <w:r w:rsidR="006304FF" w:rsidRPr="00C46FB6">
          <w:rPr>
            <w:rStyle w:val="Hyperlink"/>
          </w:rPr>
          <w:t>ElWOG</w:t>
        </w:r>
        <w:proofErr w:type="spellEnd"/>
        <w:r w:rsidR="006304FF" w:rsidRPr="00C46FB6">
          <w:rPr>
            <w:rStyle w:val="Hyperlink"/>
          </w:rPr>
          <w:t xml:space="preserve"> 2010</w:t>
        </w:r>
      </w:hyperlink>
    </w:p>
    <w:p w14:paraId="12DC83E7" w14:textId="77777777" w:rsidR="006072F4" w:rsidRDefault="00F26E1C" w:rsidP="0000091E">
      <w:pPr>
        <w:rPr>
          <w:b/>
        </w:rPr>
      </w:pPr>
      <w:hyperlink r:id="rId116" w:anchor="p_p_id_56_INSTANCE_10309A20144_" w:history="1">
        <w:r w:rsidR="00225206" w:rsidRPr="00225206">
          <w:rPr>
            <w:rStyle w:val="Hyperlink"/>
          </w:rPr>
          <w:t>§ 12 Abs 1 Systemnutzungsentgelte Verordnung 2012</w:t>
        </w:r>
      </w:hyperlink>
      <w:r w:rsidR="00225206">
        <w:t xml:space="preserve"> </w:t>
      </w:r>
      <w:r w:rsidR="002E5ACE">
        <w:t>aktuelle Fassung</w:t>
      </w:r>
    </w:p>
    <w:p w14:paraId="30BD023F" w14:textId="77777777" w:rsidR="00225206" w:rsidRDefault="00F26E1C" w:rsidP="00225206">
      <w:pPr>
        <w:rPr>
          <w:rStyle w:val="Hyperlink"/>
          <w:color w:val="auto"/>
          <w:u w:val="none"/>
        </w:rPr>
      </w:pPr>
      <w:hyperlink w:anchor="_Randziffer_1536_UStR" w:history="1">
        <w:r w:rsidR="00225206" w:rsidRPr="00D65297">
          <w:rPr>
            <w:rStyle w:val="Hyperlink"/>
          </w:rPr>
          <w:t>Randziffer 1536 U</w:t>
        </w:r>
        <w:r w:rsidR="00225206">
          <w:rPr>
            <w:rStyle w:val="Hyperlink"/>
          </w:rPr>
          <w:t>msatzs</w:t>
        </w:r>
        <w:r w:rsidR="00225206" w:rsidRPr="00D65297">
          <w:rPr>
            <w:rStyle w:val="Hyperlink"/>
          </w:rPr>
          <w:t>t</w:t>
        </w:r>
        <w:r w:rsidR="00225206">
          <w:rPr>
            <w:rStyle w:val="Hyperlink"/>
          </w:rPr>
          <w:t>euerrichtlinie</w:t>
        </w:r>
        <w:r w:rsidR="00225206" w:rsidRPr="00D65297">
          <w:rPr>
            <w:rStyle w:val="Hyperlink"/>
          </w:rPr>
          <w:t xml:space="preserve"> 2000</w:t>
        </w:r>
      </w:hyperlink>
    </w:p>
    <w:p w14:paraId="5E0BEFBF" w14:textId="77777777" w:rsidR="006304FF" w:rsidRPr="00C025BD" w:rsidRDefault="006304FF" w:rsidP="006304FF">
      <w:pPr>
        <w:rPr>
          <w:rStyle w:val="Hyperlink"/>
          <w:color w:val="auto"/>
          <w:u w:val="none"/>
        </w:rPr>
      </w:pPr>
    </w:p>
    <w:p w14:paraId="0AF94975" w14:textId="77777777" w:rsidR="0000091E" w:rsidRPr="00736F66" w:rsidRDefault="0000091E" w:rsidP="0000091E">
      <w:pPr>
        <w:rPr>
          <w:b/>
        </w:rPr>
      </w:pPr>
      <w:r w:rsidRPr="00736F66">
        <w:rPr>
          <w:b/>
        </w:rPr>
        <w:t>Kurzbeschreibung</w:t>
      </w:r>
    </w:p>
    <w:p w14:paraId="1883C388" w14:textId="77777777" w:rsidR="00D012E0" w:rsidRDefault="00D012E0" w:rsidP="00D012E0">
      <w:r>
        <w:t>Für die Verbrauchsmengenermittlung zur Rechnungslegung ist grundsätzlich der Netzbetreiber zuständig. Der Lieferant erhält daher alle diesbezüglichen für die Abrechnung relevanten Daten vom Netzbetreiber.</w:t>
      </w:r>
    </w:p>
    <w:p w14:paraId="11F0EA76" w14:textId="77777777" w:rsidR="00D012E0" w:rsidRDefault="00D012E0" w:rsidP="00D012E0"/>
    <w:p w14:paraId="625F713B" w14:textId="77777777" w:rsidR="00D012E0" w:rsidRDefault="00D012E0" w:rsidP="00D012E0">
      <w:r>
        <w:t xml:space="preserve">In den Bestimmungen § 81 und § 82 </w:t>
      </w:r>
      <w:proofErr w:type="spellStart"/>
      <w:r>
        <w:t>ElWOG</w:t>
      </w:r>
      <w:proofErr w:type="spellEnd"/>
      <w:r>
        <w:t xml:space="preserve"> 2010 finden sich alle wesentlichen Anforderungen an Rechnungen und das der Rechnung beizulegende Kundeninformationsblatt.</w:t>
      </w:r>
    </w:p>
    <w:p w14:paraId="0287BF67" w14:textId="77777777" w:rsidR="00D012E0" w:rsidRDefault="00D012E0" w:rsidP="00D012E0"/>
    <w:p w14:paraId="2CC6732A" w14:textId="77777777" w:rsidR="00D012E0" w:rsidRDefault="00D012E0" w:rsidP="00D012E0">
      <w:r>
        <w:t xml:space="preserve">Der Lieferant hat die Möglichkeit (keine Verpflichtung!), dem Endverbraucher den Service einer sogenannten gemeinsamen Rechnungslegung anzubieten. In diesem Falle übermittelt der Netzbetreiber die für die Netzrechnung relevanten Daten an den Lieferanten und der Lieferant </w:t>
      </w:r>
      <w:r>
        <w:lastRenderedPageBreak/>
        <w:t xml:space="preserve">verrechnet dem Endverbraucher neben dem Entgelt für die Energielieferung auch die jeweiligen Netznutzungskosten. In diesem Falle muss die gemeinsame Rechnung auch allen gesetzlichen Bestimmungen für die Netznutzungsrechnung – siehe </w:t>
      </w:r>
      <w:r w:rsidRPr="00395049">
        <w:t xml:space="preserve">§ 81 Abs 3 </w:t>
      </w:r>
      <w:proofErr w:type="spellStart"/>
      <w:r w:rsidRPr="00395049">
        <w:t>ElWOG</w:t>
      </w:r>
      <w:proofErr w:type="spellEnd"/>
      <w:r w:rsidRPr="00395049">
        <w:t xml:space="preserve"> 2010</w:t>
      </w:r>
      <w:r>
        <w:t xml:space="preserve"> und </w:t>
      </w:r>
      <w:r w:rsidRPr="00395049">
        <w:t xml:space="preserve">§ 82 Abs 1 </w:t>
      </w:r>
      <w:proofErr w:type="spellStart"/>
      <w:r w:rsidRPr="00395049">
        <w:t>ElWOG</w:t>
      </w:r>
      <w:proofErr w:type="spellEnd"/>
      <w:r w:rsidRPr="00395049">
        <w:t xml:space="preserve"> 2010</w:t>
      </w:r>
      <w:r>
        <w:t xml:space="preserve"> – entsprechen.</w:t>
      </w:r>
    </w:p>
    <w:p w14:paraId="543CD432" w14:textId="77777777" w:rsidR="00D012E0" w:rsidRDefault="00D012E0" w:rsidP="00D012E0"/>
    <w:p w14:paraId="3CA56D03" w14:textId="77777777" w:rsidR="00D012E0" w:rsidRDefault="00D012E0" w:rsidP="00D012E0">
      <w:r>
        <w:t>E-Control hat eine Musterrechnung für die gemeinsame Abrechnung der Energielieferung und der Netznutzungsgebühren, welche allen gesetzlichen Anforderungen entspricht, erstellt.</w:t>
      </w:r>
    </w:p>
    <w:p w14:paraId="3153E6AE" w14:textId="77777777" w:rsidR="00D012E0" w:rsidRDefault="00D012E0" w:rsidP="0000091E"/>
    <w:p w14:paraId="7AC56BD6" w14:textId="77777777" w:rsidR="0000091E" w:rsidRDefault="0000091E" w:rsidP="0000091E">
      <w:r>
        <w:t>Betreffend die Umsatzsteuer ist d</w:t>
      </w:r>
      <w:r w:rsidRPr="007E0E3F">
        <w:t>ie in zwei Erlässen des Bundesministeriums für Finanzen geäußerte Rechtsansicht i</w:t>
      </w:r>
      <w:r>
        <w:t xml:space="preserve">n den </w:t>
      </w:r>
      <w:hyperlink w:anchor="_Randziffer_1536_UStR" w:history="1">
        <w:r w:rsidRPr="00E2080E">
          <w:rPr>
            <w:rStyle w:val="Hyperlink"/>
          </w:rPr>
          <w:t>Umsatzsteuerrichtlinien Randziffer 1536</w:t>
        </w:r>
      </w:hyperlink>
      <w:r w:rsidRPr="007E0E3F">
        <w:t xml:space="preserve"> wiedergegeben. Im Wesentlichen gibt es drei Varianten.</w:t>
      </w:r>
      <w:r>
        <w:t xml:space="preserve"> In der praktischen Anwendung hat sich das „Vorleistungsmodell“ durchgesetzt:</w:t>
      </w:r>
    </w:p>
    <w:p w14:paraId="02C6EDA7" w14:textId="77777777" w:rsidR="00D65297" w:rsidRPr="007E0E3F" w:rsidRDefault="00D65297" w:rsidP="0000091E"/>
    <w:p w14:paraId="2497CB5A" w14:textId="77777777" w:rsidR="00D012E0" w:rsidRDefault="00D012E0" w:rsidP="00D012E0">
      <w:r w:rsidRPr="007E0E3F">
        <w:t xml:space="preserve">Für umsatzsteuerliche Zwecke wird angenommen, dass der Netzbetreiber seine Leistung gegenüber dem Stromlieferanten erbracht hat. Dies ist lediglich eine Vereinfachungsmöglichkeit und ändert nichts daran, dass in Wirklichkeit der Netzbetreiber selbstverständlich seine Leistung gegenüber </w:t>
      </w:r>
      <w:r w:rsidRPr="007E0E3F">
        <w:rPr>
          <w:u w:val="single"/>
        </w:rPr>
        <w:t>seinem</w:t>
      </w:r>
      <w:r w:rsidRPr="007E0E3F">
        <w:t xml:space="preserve"> Kunden erbringt. Auch das zivilrechtliche Vertragsband zwischen Netzbetreiber und Kunde bleibt unverletzt. </w:t>
      </w:r>
    </w:p>
    <w:p w14:paraId="6E611190" w14:textId="77777777" w:rsidR="00D012E0" w:rsidRDefault="00D012E0" w:rsidP="00D012E0"/>
    <w:p w14:paraId="1CEBB84D" w14:textId="77777777" w:rsidR="00D012E0" w:rsidRDefault="00D012E0" w:rsidP="00D012E0">
      <w:r w:rsidRPr="007E0E3F">
        <w:t xml:space="preserve">Adressat der Rechnung ist der Lieferant selbst. Der Lieferant kann sich aus dieser Rechnung die Vorsteuer herausholen, und kann dadurch eine Rechnung für Netzdienstleistung und Energie legen, welche mit </w:t>
      </w:r>
      <w:r>
        <w:t>Umsatzsteuer beaufschlagt wird.</w:t>
      </w:r>
    </w:p>
    <w:p w14:paraId="1A0A2689" w14:textId="77777777" w:rsidR="00D012E0" w:rsidRPr="007E0E3F" w:rsidRDefault="00D012E0" w:rsidP="00D012E0"/>
    <w:p w14:paraId="127510F7" w14:textId="77777777" w:rsidR="0000091E" w:rsidRDefault="00D012E0" w:rsidP="00D012E0">
      <w:r>
        <w:t xml:space="preserve">Voraussetzung ist eine vertragliche Vereinbarung zwischen Lieferant, Netzbetreiber und Kunde über die Anwendung des Modells. In der Praxis wird zwischen Netzbetreiber und Lieferant eine Rahmenvereinbarung geschlossen, die jeweiligen den Kunden betreffenden Einzelvereinbarungen werden dann vom Lieferanten im </w:t>
      </w:r>
      <w:proofErr w:type="spellStart"/>
      <w:r>
        <w:t>Vollmachtsnamen</w:t>
      </w:r>
      <w:proofErr w:type="spellEnd"/>
      <w:r>
        <w:t xml:space="preserve"> für den Kunden geschlossen. Der für das Vorleistungsmodell relevante Teil befindet sich im zweiten Absatz in der </w:t>
      </w:r>
      <w:hyperlink w:anchor="_Randziffer_1536_UStR" w:history="1">
        <w:r w:rsidR="0000091E" w:rsidRPr="00D65297">
          <w:rPr>
            <w:rStyle w:val="Hyperlink"/>
          </w:rPr>
          <w:t>Randziffer 1536 UStR 2000</w:t>
        </w:r>
      </w:hyperlink>
      <w:r w:rsidR="006F19D6">
        <w:t>.</w:t>
      </w:r>
      <w:r w:rsidR="0000091E">
        <w:t xml:space="preserve"> </w:t>
      </w:r>
    </w:p>
    <w:p w14:paraId="30189A3D" w14:textId="77777777" w:rsidR="009C0B39" w:rsidRDefault="009C0B39" w:rsidP="00D012E0"/>
    <w:p w14:paraId="3AE1ED14" w14:textId="77777777" w:rsidR="00D012E0" w:rsidRDefault="009C0B39" w:rsidP="00D012E0">
      <w:r>
        <w:t xml:space="preserve">Das </w:t>
      </w:r>
      <w:r w:rsidR="00D012E0">
        <w:t xml:space="preserve">Rückläufermodell </w:t>
      </w:r>
      <w:r>
        <w:t xml:space="preserve">ist </w:t>
      </w:r>
      <w:r w:rsidR="00D012E0">
        <w:t>eine Erweiterung des Vorleistungs</w:t>
      </w:r>
      <w:r w:rsidR="00D012E0">
        <w:softHyphen/>
        <w:t xml:space="preserve">modells </w:t>
      </w:r>
      <w:r>
        <w:t>und ist anzuwenden, wenn das Vorleistungsmodell ange</w:t>
      </w:r>
      <w:r w:rsidR="00D012E0">
        <w:t>wende</w:t>
      </w:r>
      <w:r>
        <w:t>t wird</w:t>
      </w:r>
      <w:r w:rsidR="00D012E0">
        <w:t xml:space="preserve">. </w:t>
      </w:r>
      <w:r w:rsidR="00D012E0" w:rsidRPr="003734B6">
        <w:t>Wird der Vertrag zwischen Lieferant und Endverbraucher aufgrund des Zahlungsverzugs des</w:t>
      </w:r>
      <w:r w:rsidR="00D012E0">
        <w:t xml:space="preserve"> </w:t>
      </w:r>
      <w:r w:rsidR="00D012E0" w:rsidRPr="003734B6">
        <w:t>Endverbrauchers beendet (Abmeldung aus anderen Gründen infolge Schlechtzahlung),</w:t>
      </w:r>
      <w:r w:rsidR="00D012E0">
        <w:t xml:space="preserve"> </w:t>
      </w:r>
      <w:r w:rsidR="00D012E0" w:rsidRPr="003734B6">
        <w:t>erstattet der Netzbetreiber die vom Lieferanten für den jeweiligen Endverbraucher sämtliche</w:t>
      </w:r>
      <w:r w:rsidR="00D012E0">
        <w:t xml:space="preserve"> </w:t>
      </w:r>
      <w:r w:rsidR="00D012E0" w:rsidRPr="003734B6">
        <w:t>innerhalb der letzten 63 Kalendertage vor dem Vertragsbeendigungs</w:t>
      </w:r>
      <w:r w:rsidR="00D012E0">
        <w:softHyphen/>
      </w:r>
      <w:r w:rsidR="00D012E0" w:rsidRPr="003734B6">
        <w:t>datum erhaltenen</w:t>
      </w:r>
      <w:r w:rsidR="00D012E0">
        <w:t xml:space="preserve"> </w:t>
      </w:r>
      <w:r w:rsidR="00D012E0" w:rsidRPr="003734B6">
        <w:t>Zahlungen an den Lieferanten zurück.</w:t>
      </w:r>
      <w:r w:rsidR="00D012E0">
        <w:t xml:space="preserve"> </w:t>
      </w:r>
      <w:r w:rsidR="00D012E0" w:rsidRPr="003734B6">
        <w:t>Die Zahlungen umfassen sämtliche auf den Netzrechnungen ausgewiesenen Beträge (z.B.</w:t>
      </w:r>
      <w:r w:rsidR="00D012E0">
        <w:t xml:space="preserve"> </w:t>
      </w:r>
      <w:r w:rsidR="00D012E0" w:rsidRPr="003734B6">
        <w:t xml:space="preserve">Netznutzungsentgelt, </w:t>
      </w:r>
      <w:r w:rsidR="00D012E0" w:rsidRPr="003734B6">
        <w:lastRenderedPageBreak/>
        <w:t>Netzverlustentgelt, Messentgelte, Steuern und Abgaben,</w:t>
      </w:r>
      <w:r w:rsidR="00D012E0">
        <w:t xml:space="preserve"> </w:t>
      </w:r>
      <w:r w:rsidR="00D012E0" w:rsidRPr="003734B6">
        <w:t>Ökostrombeiträge, -pauschale etc.).</w:t>
      </w:r>
      <w:r w:rsidR="00D012E0">
        <w:t xml:space="preserve"> </w:t>
      </w:r>
      <w:r w:rsidR="00D012E0" w:rsidRPr="003734B6">
        <w:t>Der Netzbetreiber erstellt in der Folge eine Schlussrechnung, in der die Rückzahlungssumme als</w:t>
      </w:r>
      <w:r w:rsidR="00D012E0">
        <w:t xml:space="preserve"> </w:t>
      </w:r>
      <w:r w:rsidR="00D012E0" w:rsidRPr="003734B6">
        <w:t>offener Posten berücksichtigt wird. Der Lieferant legt in der Folge eine Gesamtrechnung</w:t>
      </w:r>
      <w:r w:rsidR="00D012E0">
        <w:t xml:space="preserve"> </w:t>
      </w:r>
      <w:r w:rsidR="00D012E0" w:rsidRPr="003734B6">
        <w:t>(einschließlich der Netzschlussrechnung) an den Kunden.</w:t>
      </w:r>
      <w:r w:rsidR="00D012E0">
        <w:t xml:space="preserve"> </w:t>
      </w:r>
    </w:p>
    <w:p w14:paraId="0850E6B8" w14:textId="77777777" w:rsidR="00D012E0" w:rsidRPr="003734B6" w:rsidRDefault="00D012E0" w:rsidP="00D012E0"/>
    <w:p w14:paraId="22AFDB24" w14:textId="77777777" w:rsidR="00D012E0" w:rsidRDefault="00D012E0" w:rsidP="00D012E0">
      <w:r w:rsidRPr="003734B6">
        <w:t>Wird diese vom Kunden bezahlt, werden die Netzentgelte vom Lieferanten an den Netzbetreiber</w:t>
      </w:r>
      <w:r>
        <w:t xml:space="preserve"> </w:t>
      </w:r>
      <w:r w:rsidRPr="003734B6">
        <w:t>überwiesen. Erfolgt hingegen nach der Mahnung weiterhin keine Zahlung des Kunden, erfolgt die</w:t>
      </w:r>
      <w:r>
        <w:t xml:space="preserve"> </w:t>
      </w:r>
      <w:r w:rsidRPr="003734B6">
        <w:t>Forderungsbetreibung (Inkasso</w:t>
      </w:r>
      <w:r w:rsidRPr="00A82FC6">
        <w:t>büro, Klage) getrennt durch Lie</w:t>
      </w:r>
      <w:r>
        <w:t>f</w:t>
      </w:r>
      <w:r w:rsidRPr="003734B6">
        <w:t>eranten und Netzbetreiber für ihre</w:t>
      </w:r>
      <w:r>
        <w:t xml:space="preserve"> </w:t>
      </w:r>
      <w:r w:rsidRPr="003734B6">
        <w:t>jeweilige Forderung.</w:t>
      </w:r>
      <w:r>
        <w:t xml:space="preserve"> </w:t>
      </w:r>
      <w:r w:rsidRPr="003734B6">
        <w:t>Die Rückerstattung an den Lieferanten wird in der Schlussrechnung des Netzbetreibers</w:t>
      </w:r>
      <w:r>
        <w:t xml:space="preserve"> </w:t>
      </w:r>
      <w:r w:rsidRPr="003734B6">
        <w:t>berücksichtigt.</w:t>
      </w:r>
    </w:p>
    <w:p w14:paraId="4F76B3B1" w14:textId="77777777" w:rsidR="00D012E0" w:rsidRPr="007E0E3F" w:rsidRDefault="00D012E0" w:rsidP="00D012E0"/>
    <w:p w14:paraId="17D86F4F" w14:textId="77777777" w:rsidR="00D65297" w:rsidRDefault="0000091E" w:rsidP="00D65297">
      <w:r>
        <w:t>Bezüglich der Form der Übermittlung der Netzabrechnungsdaten (elektronisch oder in Papierform) muss eine Abstimmung mit dem jeweiligen Netzbetreiber erfolgen. Siehe genaueres hierzu unter Abschnitt</w:t>
      </w:r>
      <w:r w:rsidR="00D65297">
        <w:t xml:space="preserve"> „</w:t>
      </w:r>
      <w:r w:rsidR="00C63271">
        <w:fldChar w:fldCharType="begin"/>
      </w:r>
      <w:r w:rsidR="00D65297">
        <w:instrText xml:space="preserve"> REF _Ref378679652 \h </w:instrText>
      </w:r>
      <w:r w:rsidR="00C63271">
        <w:fldChar w:fldCharType="separate"/>
      </w:r>
      <w:r w:rsidR="0008678F">
        <w:t>Registrierung zum elektronischen Austausch von Netzrechnungen</w:t>
      </w:r>
      <w:r w:rsidR="00C63271">
        <w:fldChar w:fldCharType="end"/>
      </w:r>
      <w:r w:rsidR="00D65297">
        <w:t>“.</w:t>
      </w:r>
    </w:p>
    <w:p w14:paraId="6532F3A7" w14:textId="77777777" w:rsidR="0000091E" w:rsidRDefault="0000091E" w:rsidP="0000091E"/>
    <w:p w14:paraId="6EBA3238" w14:textId="77777777" w:rsidR="002E5ACE" w:rsidRDefault="002E5ACE" w:rsidP="002E5ACE">
      <w:r>
        <w:t xml:space="preserve">Unabhängig davon welche Form der Rechnungslegung gewählt wurde, hat die turnusmäßige Jahresabrechnung spätestens sechs Wochen nach der für die Abrechnungsperiode relevanten </w:t>
      </w:r>
      <w:proofErr w:type="spellStart"/>
      <w:r>
        <w:t>Zählerstandsermittlung</w:t>
      </w:r>
      <w:proofErr w:type="spellEnd"/>
      <w:r>
        <w:t xml:space="preserve"> zu erfolgen. Der Netzbetreiber hat die Rechnung über die Netznutzungsentgelte innerhalb von drei Wochen an den Lieferanten zu übermitteln, damit dieser die 6-Wochen Frist einhalten kann </w:t>
      </w:r>
      <w:r w:rsidRPr="00225206">
        <w:t>(</w:t>
      </w:r>
      <w:hyperlink r:id="rId117" w:anchor="p_p_id_56_INSTANCE_10309A20144_" w:history="1">
        <w:r w:rsidRPr="00225206">
          <w:rPr>
            <w:rStyle w:val="Hyperlink"/>
          </w:rPr>
          <w:t>§ 12 Abs 1 Systemnutzungsentgelte Verordnung 2012</w:t>
        </w:r>
      </w:hyperlink>
      <w:r>
        <w:t xml:space="preserve"> ). Neben der turnusmäßigen Jahresabrechnung hat der Endverbraucher auf seinen Wunsch Anspruch auf eine unterjährige Abrechnung.</w:t>
      </w:r>
    </w:p>
    <w:p w14:paraId="78258567" w14:textId="77777777" w:rsidR="009A6D1C" w:rsidRDefault="009A6D1C" w:rsidP="009A6D1C">
      <w:pPr>
        <w:rPr>
          <w:b/>
        </w:rPr>
      </w:pPr>
    </w:p>
    <w:p w14:paraId="527BB262" w14:textId="77777777" w:rsidR="00D012E0" w:rsidRDefault="00D012E0" w:rsidP="009A6D1C">
      <w:r>
        <w:t xml:space="preserve">Nach dem Lieferantenwechsel oder nach der Vertragsbeendigung haben der Netzbetreiber und der bisherige Lieferant spätestens nach 6 Wochen die Rechnung zu legen. Der Netzbetreiber hat die Rechnung für die Netznutzung innerhalb von drei Wochen an den bisherigen Lieferanten zu übermitteln, sofern der bisherige Lieferant auch die Rechnung für die Netznutzung legt (§ 82 Abs 4 </w:t>
      </w:r>
      <w:proofErr w:type="spellStart"/>
      <w:r>
        <w:t>ElWOG</w:t>
      </w:r>
      <w:proofErr w:type="spellEnd"/>
      <w:r>
        <w:t xml:space="preserve"> 2010).</w:t>
      </w:r>
    </w:p>
    <w:p w14:paraId="6E773E14" w14:textId="77777777" w:rsidR="00D012E0" w:rsidRDefault="00D012E0" w:rsidP="009A6D1C">
      <w:pPr>
        <w:rPr>
          <w:b/>
        </w:rPr>
      </w:pPr>
    </w:p>
    <w:p w14:paraId="6F95755B" w14:textId="77777777" w:rsidR="0000091E" w:rsidRPr="00736F66" w:rsidRDefault="0000091E" w:rsidP="0000091E">
      <w:pPr>
        <w:rPr>
          <w:b/>
        </w:rPr>
      </w:pPr>
      <w:r w:rsidRPr="00736F66">
        <w:rPr>
          <w:b/>
        </w:rPr>
        <w:t>Handlungsanweisung</w:t>
      </w:r>
    </w:p>
    <w:p w14:paraId="53C41A12" w14:textId="15CC7BB2" w:rsidR="00C025BD" w:rsidRDefault="0000091E" w:rsidP="0000091E">
      <w:r>
        <w:t xml:space="preserve">Die Regulierungsbehörde hat eine Musterrechnung für die gemeinsame Abrechnung der Energielieferung und der Netznutzungsgebühren, welche allen gesetzlichen Anforderungen entspricht, erstellt. </w:t>
      </w:r>
      <w:bookmarkStart w:id="79" w:name="_Toc355686523"/>
      <w:r w:rsidR="00895233">
        <w:t xml:space="preserve">Die Musterrechnung zeigt auf </w:t>
      </w:r>
      <w:r w:rsidR="00CB6F64">
        <w:t>sieben</w:t>
      </w:r>
      <w:r w:rsidR="00895233">
        <w:t xml:space="preserve"> Seiten, wie eine Rechnung kundenfreundlich, übersichtlich und transparent zu gestalten ist. </w:t>
      </w:r>
      <w:r>
        <w:t>Die Musterrechnung der Regulierungsbehörde</w:t>
      </w:r>
      <w:bookmarkEnd w:id="79"/>
      <w:r>
        <w:t xml:space="preserve"> finden Sie unter</w:t>
      </w:r>
      <w:r w:rsidR="007C6EFD">
        <w:t xml:space="preserve">: </w:t>
      </w:r>
      <w:r w:rsidR="00A94473">
        <w:t xml:space="preserve"> </w:t>
      </w:r>
      <w:hyperlink r:id="rId118" w:history="1">
        <w:r w:rsidR="00A94473" w:rsidRPr="00BC0270">
          <w:rPr>
            <w:rStyle w:val="Hyperlink"/>
          </w:rPr>
          <w:t>https://www.e-control.at/konsumenten/rechnung/rechnungsgestaltung-rechnungslegung</w:t>
        </w:r>
      </w:hyperlink>
      <w:r w:rsidR="00263F8C">
        <w:t>.</w:t>
      </w:r>
      <w:r w:rsidR="00A94473">
        <w:t xml:space="preserve"> </w:t>
      </w:r>
    </w:p>
    <w:p w14:paraId="252901AD" w14:textId="77777777" w:rsidR="002E5ACE" w:rsidRDefault="002E5ACE" w:rsidP="0000091E"/>
    <w:p w14:paraId="31321B39" w14:textId="77777777" w:rsidR="0000091E" w:rsidRDefault="0000091E" w:rsidP="0000091E">
      <w:r>
        <w:lastRenderedPageBreak/>
        <w:t>Lieferanten und Netzbetreiber sind eingeladen, die Musterrechnung oder Teile davon als Vorlage für Ihre eigene Rechnung zu übernehmen.</w:t>
      </w:r>
    </w:p>
    <w:p w14:paraId="6A4B1739" w14:textId="77777777" w:rsidR="00C025BD" w:rsidRDefault="00C025BD" w:rsidP="006A0334">
      <w:pPr>
        <w:spacing w:line="240" w:lineRule="auto"/>
      </w:pPr>
    </w:p>
    <w:tbl>
      <w:tblPr>
        <w:tblW w:w="0" w:type="auto"/>
        <w:tblInd w:w="55" w:type="dxa"/>
        <w:tblCellMar>
          <w:left w:w="70" w:type="dxa"/>
          <w:right w:w="70" w:type="dxa"/>
        </w:tblCellMar>
        <w:tblLook w:val="04A0" w:firstRow="1" w:lastRow="0" w:firstColumn="1" w:lastColumn="0" w:noHBand="0" w:noVBand="1"/>
      </w:tblPr>
      <w:tblGrid>
        <w:gridCol w:w="9361"/>
        <w:gridCol w:w="146"/>
      </w:tblGrid>
      <w:tr w:rsidR="0000091E" w:rsidRPr="009D6189" w14:paraId="57A030B0" w14:textId="77777777" w:rsidTr="00ED275C">
        <w:trPr>
          <w:trHeight w:val="255"/>
        </w:trPr>
        <w:tc>
          <w:tcPr>
            <w:tcW w:w="0" w:type="auto"/>
            <w:tcBorders>
              <w:top w:val="nil"/>
              <w:left w:val="nil"/>
              <w:bottom w:val="nil"/>
              <w:right w:val="nil"/>
            </w:tcBorders>
            <w:shd w:val="clear" w:color="000000" w:fill="95B3D7"/>
            <w:noWrap/>
            <w:vAlign w:val="center"/>
            <w:hideMark/>
          </w:tcPr>
          <w:p w14:paraId="5DC6C46A" w14:textId="77777777" w:rsidR="0000091E" w:rsidRPr="009D6189" w:rsidRDefault="0000091E" w:rsidP="00E808A8">
            <w:pPr>
              <w:pStyle w:val="Listenabsatz"/>
              <w:spacing w:line="276" w:lineRule="auto"/>
              <w:ind w:left="0"/>
              <w:rPr>
                <w:b/>
              </w:rPr>
            </w:pPr>
            <w:r w:rsidRPr="009D6189">
              <w:rPr>
                <w:b/>
              </w:rPr>
              <w:t xml:space="preserve">Checkliste </w:t>
            </w:r>
            <w:r w:rsidR="00C03CDD">
              <w:rPr>
                <w:b/>
              </w:rPr>
              <w:t>–</w:t>
            </w:r>
            <w:r w:rsidRPr="009D6189">
              <w:rPr>
                <w:b/>
              </w:rPr>
              <w:t xml:space="preserve"> Rechnungslegung</w:t>
            </w:r>
          </w:p>
        </w:tc>
        <w:tc>
          <w:tcPr>
            <w:tcW w:w="0" w:type="auto"/>
            <w:tcBorders>
              <w:top w:val="nil"/>
              <w:left w:val="nil"/>
              <w:bottom w:val="nil"/>
              <w:right w:val="nil"/>
            </w:tcBorders>
            <w:shd w:val="clear" w:color="000000" w:fill="95B3D7"/>
            <w:noWrap/>
            <w:vAlign w:val="center"/>
          </w:tcPr>
          <w:p w14:paraId="2D6A0720" w14:textId="77777777" w:rsidR="0000091E" w:rsidRPr="009D6189" w:rsidRDefault="0000091E" w:rsidP="00E808A8">
            <w:pPr>
              <w:pStyle w:val="Listenabsatz"/>
              <w:spacing w:line="276" w:lineRule="auto"/>
              <w:rPr>
                <w:b/>
              </w:rPr>
            </w:pPr>
          </w:p>
        </w:tc>
      </w:tr>
      <w:tr w:rsidR="0000091E" w:rsidRPr="00394416" w14:paraId="42251688" w14:textId="77777777" w:rsidTr="00E808A8">
        <w:trPr>
          <w:trHeight w:val="510"/>
        </w:trPr>
        <w:tc>
          <w:tcPr>
            <w:tcW w:w="0" w:type="auto"/>
            <w:tcBorders>
              <w:top w:val="single" w:sz="4" w:space="0" w:color="FFFFFF"/>
              <w:left w:val="single" w:sz="4" w:space="0" w:color="FFFFFF"/>
              <w:bottom w:val="single" w:sz="4" w:space="0" w:color="FFFFFF"/>
              <w:right w:val="single" w:sz="4" w:space="0" w:color="FFFFFF"/>
            </w:tcBorders>
            <w:shd w:val="clear" w:color="000000" w:fill="BDD1E7"/>
            <w:vAlign w:val="center"/>
            <w:hideMark/>
          </w:tcPr>
          <w:p w14:paraId="3778B684" w14:textId="690B1847" w:rsidR="0000091E" w:rsidRPr="00394416" w:rsidRDefault="0000091E" w:rsidP="00E808A8">
            <w:pPr>
              <w:pStyle w:val="Listenabsatz"/>
              <w:spacing w:line="276" w:lineRule="auto"/>
            </w:pPr>
            <w:r w:rsidRPr="00394416">
              <w:t>Vertraut</w:t>
            </w:r>
            <w:r>
              <w:t xml:space="preserve"> </w:t>
            </w:r>
            <w:r w:rsidRPr="00394416">
              <w:t xml:space="preserve">machen mit den einschlägigen rechtlichen Vorschriften und der </w:t>
            </w:r>
            <w:hyperlink r:id="rId119" w:history="1">
              <w:r w:rsidRPr="0030307B">
                <w:rPr>
                  <w:rStyle w:val="Hyperlink"/>
                </w:rPr>
                <w:t>Musterrechnung der Regulierungsbehörde</w:t>
              </w:r>
            </w:hyperlink>
          </w:p>
        </w:tc>
        <w:tc>
          <w:tcPr>
            <w:tcW w:w="0" w:type="auto"/>
            <w:tcBorders>
              <w:top w:val="single" w:sz="4" w:space="0" w:color="FFFFFF"/>
              <w:left w:val="nil"/>
              <w:bottom w:val="single" w:sz="4" w:space="0" w:color="FFFFFF"/>
              <w:right w:val="single" w:sz="4" w:space="0" w:color="FFFFFF"/>
            </w:tcBorders>
            <w:shd w:val="clear" w:color="000000" w:fill="BDD1E7"/>
            <w:noWrap/>
            <w:vAlign w:val="center"/>
          </w:tcPr>
          <w:p w14:paraId="2CFEB2FB" w14:textId="77777777" w:rsidR="0000091E" w:rsidRPr="00394416" w:rsidRDefault="0000091E" w:rsidP="00E808A8">
            <w:pPr>
              <w:pStyle w:val="Listenabsatz"/>
              <w:spacing w:line="276" w:lineRule="auto"/>
            </w:pPr>
          </w:p>
        </w:tc>
      </w:tr>
      <w:tr w:rsidR="0000091E" w:rsidRPr="00394416" w14:paraId="54E9B454" w14:textId="77777777" w:rsidTr="00E808A8">
        <w:trPr>
          <w:trHeight w:val="765"/>
        </w:trPr>
        <w:tc>
          <w:tcPr>
            <w:tcW w:w="0" w:type="auto"/>
            <w:tcBorders>
              <w:top w:val="nil"/>
              <w:left w:val="single" w:sz="4" w:space="0" w:color="FFFFFF"/>
              <w:bottom w:val="single" w:sz="4" w:space="0" w:color="FFFFFF"/>
              <w:right w:val="single" w:sz="4" w:space="0" w:color="FFFFFF"/>
            </w:tcBorders>
            <w:shd w:val="clear" w:color="000000" w:fill="DAE6F2"/>
            <w:vAlign w:val="center"/>
            <w:hideMark/>
          </w:tcPr>
          <w:p w14:paraId="23DE46F6" w14:textId="77777777" w:rsidR="0000091E" w:rsidRPr="00394416" w:rsidRDefault="0000091E" w:rsidP="00E808A8">
            <w:pPr>
              <w:pStyle w:val="Listenabsatz"/>
              <w:spacing w:line="276" w:lineRule="auto"/>
            </w:pPr>
            <w:r w:rsidRPr="00394416">
              <w:rPr>
                <w:rFonts w:cstheme="minorHAnsi"/>
              </w:rPr>
              <w:t>Strategische Entscheidung des Lieferanten, ob dem Endverbraucher eine gemeinsame Rechnung für die Energielieferung und die Netznutzung angeboten werden soll</w:t>
            </w:r>
          </w:p>
        </w:tc>
        <w:tc>
          <w:tcPr>
            <w:tcW w:w="0" w:type="auto"/>
            <w:tcBorders>
              <w:top w:val="nil"/>
              <w:left w:val="nil"/>
              <w:bottom w:val="single" w:sz="4" w:space="0" w:color="FFFFFF"/>
              <w:right w:val="single" w:sz="4" w:space="0" w:color="FFFFFF"/>
            </w:tcBorders>
            <w:shd w:val="clear" w:color="000000" w:fill="DAE6F2"/>
            <w:noWrap/>
            <w:vAlign w:val="center"/>
          </w:tcPr>
          <w:p w14:paraId="2154FFE5" w14:textId="77777777" w:rsidR="0000091E" w:rsidRPr="00394416" w:rsidRDefault="0000091E" w:rsidP="00E808A8">
            <w:pPr>
              <w:pStyle w:val="Listenabsatz"/>
              <w:spacing w:line="276" w:lineRule="auto"/>
            </w:pPr>
          </w:p>
        </w:tc>
      </w:tr>
      <w:tr w:rsidR="0000091E" w:rsidRPr="00394416" w14:paraId="6D0D0C35" w14:textId="77777777" w:rsidTr="00E808A8">
        <w:trPr>
          <w:trHeight w:val="765"/>
        </w:trPr>
        <w:tc>
          <w:tcPr>
            <w:tcW w:w="0" w:type="auto"/>
            <w:tcBorders>
              <w:top w:val="nil"/>
              <w:left w:val="single" w:sz="4" w:space="0" w:color="FFFFFF"/>
              <w:bottom w:val="single" w:sz="4" w:space="0" w:color="FFFFFF"/>
              <w:right w:val="single" w:sz="4" w:space="0" w:color="FFFFFF"/>
            </w:tcBorders>
            <w:shd w:val="clear" w:color="000000" w:fill="BDD1E7"/>
            <w:vAlign w:val="center"/>
            <w:hideMark/>
          </w:tcPr>
          <w:p w14:paraId="24B7E6F0" w14:textId="77777777" w:rsidR="0000091E" w:rsidRPr="00394416" w:rsidRDefault="0000091E" w:rsidP="00E808A8">
            <w:pPr>
              <w:pStyle w:val="Listenabsatz"/>
              <w:spacing w:line="276" w:lineRule="auto"/>
            </w:pPr>
            <w:r w:rsidRPr="00394416">
              <w:rPr>
                <w:rFonts w:cstheme="minorHAnsi"/>
              </w:rPr>
              <w:t>OPTIONAL bei integrierter Rechnung:</w:t>
            </w:r>
            <w:r>
              <w:rPr>
                <w:rFonts w:cstheme="minorHAnsi"/>
              </w:rPr>
              <w:t xml:space="preserve"> </w:t>
            </w:r>
            <w:r w:rsidRPr="00394416">
              <w:rPr>
                <w:rFonts w:cstheme="minorHAnsi"/>
              </w:rPr>
              <w:t>Kontaktaufnahme mit den jeweiligen Netzbetreibern bzw. Österreichs Energie bzw. Übermittlungsmodus der Abrechnungsdaten</w:t>
            </w:r>
          </w:p>
        </w:tc>
        <w:tc>
          <w:tcPr>
            <w:tcW w:w="0" w:type="auto"/>
            <w:tcBorders>
              <w:top w:val="nil"/>
              <w:left w:val="nil"/>
              <w:bottom w:val="single" w:sz="4" w:space="0" w:color="FFFFFF"/>
              <w:right w:val="single" w:sz="4" w:space="0" w:color="FFFFFF"/>
            </w:tcBorders>
            <w:shd w:val="clear" w:color="000000" w:fill="BDD1E7"/>
            <w:noWrap/>
            <w:vAlign w:val="center"/>
          </w:tcPr>
          <w:p w14:paraId="3E2358A8" w14:textId="77777777" w:rsidR="0000091E" w:rsidRPr="00394416" w:rsidRDefault="0000091E" w:rsidP="00E808A8">
            <w:pPr>
              <w:pStyle w:val="Listenabsatz"/>
              <w:spacing w:line="276" w:lineRule="auto"/>
            </w:pPr>
          </w:p>
        </w:tc>
      </w:tr>
      <w:tr w:rsidR="0000091E" w:rsidRPr="00394416" w14:paraId="6F69320C" w14:textId="77777777" w:rsidTr="00E808A8">
        <w:trPr>
          <w:trHeight w:val="1020"/>
        </w:trPr>
        <w:tc>
          <w:tcPr>
            <w:tcW w:w="0" w:type="auto"/>
            <w:tcBorders>
              <w:top w:val="nil"/>
              <w:left w:val="single" w:sz="4" w:space="0" w:color="FFFFFF"/>
              <w:bottom w:val="single" w:sz="4" w:space="0" w:color="FFFFFF"/>
              <w:right w:val="single" w:sz="4" w:space="0" w:color="FFFFFF"/>
            </w:tcBorders>
            <w:shd w:val="clear" w:color="000000" w:fill="DAE6F2"/>
            <w:vAlign w:val="center"/>
            <w:hideMark/>
          </w:tcPr>
          <w:p w14:paraId="289A2BAA" w14:textId="77777777" w:rsidR="0000091E" w:rsidRPr="00394416" w:rsidRDefault="0000091E" w:rsidP="00E808A8">
            <w:pPr>
              <w:pStyle w:val="Listenabsatz"/>
              <w:spacing w:line="276" w:lineRule="auto"/>
            </w:pPr>
            <w:r w:rsidRPr="00394416">
              <w:rPr>
                <w:rFonts w:cstheme="minorHAnsi"/>
              </w:rPr>
              <w:t>Implementierung Rechnungslegungsmodul bzw. Kontaktaufnahme mit entsprechendem Dienstleistungsunternehmen, welche diese Dienstleistung anbieten</w:t>
            </w:r>
          </w:p>
        </w:tc>
        <w:tc>
          <w:tcPr>
            <w:tcW w:w="0" w:type="auto"/>
            <w:tcBorders>
              <w:top w:val="nil"/>
              <w:left w:val="nil"/>
              <w:bottom w:val="single" w:sz="4" w:space="0" w:color="FFFFFF"/>
              <w:right w:val="single" w:sz="4" w:space="0" w:color="FFFFFF"/>
            </w:tcBorders>
            <w:shd w:val="clear" w:color="000000" w:fill="DAE6F2"/>
            <w:noWrap/>
            <w:vAlign w:val="center"/>
          </w:tcPr>
          <w:p w14:paraId="3D89ED81" w14:textId="77777777" w:rsidR="0000091E" w:rsidRPr="00394416" w:rsidRDefault="0000091E" w:rsidP="00E808A8">
            <w:pPr>
              <w:pStyle w:val="Listenabsatz"/>
              <w:spacing w:line="276" w:lineRule="auto"/>
            </w:pPr>
          </w:p>
        </w:tc>
      </w:tr>
    </w:tbl>
    <w:p w14:paraId="31B1DB70" w14:textId="77777777" w:rsidR="0000091E" w:rsidRDefault="0000091E" w:rsidP="0000091E"/>
    <w:p w14:paraId="0F3C32E1" w14:textId="77777777" w:rsidR="0000091E" w:rsidRDefault="0000091E" w:rsidP="0000091E">
      <w:pPr>
        <w:rPr>
          <w:b/>
        </w:rPr>
      </w:pPr>
      <w:r>
        <w:rPr>
          <w:b/>
        </w:rPr>
        <w:t>Tipps und Hinweise</w:t>
      </w:r>
    </w:p>
    <w:p w14:paraId="13789764" w14:textId="77777777" w:rsidR="0000091E" w:rsidRDefault="0000091E" w:rsidP="0000091E">
      <w:r>
        <w:t>De</w:t>
      </w:r>
      <w:r w:rsidR="00EB2502">
        <w:t>r</w:t>
      </w:r>
      <w:r>
        <w:t xml:space="preserve"> Zeitaufwand für die Installation der Rechnungslegung in </w:t>
      </w:r>
      <w:r w:rsidR="00EB2502">
        <w:t>Ihr</w:t>
      </w:r>
      <w:r>
        <w:t xml:space="preserve">em Unternehmen kann sehr </w:t>
      </w:r>
      <w:r w:rsidRPr="00101321">
        <w:t>variabel</w:t>
      </w:r>
      <w:r>
        <w:t xml:space="preserve"> sein</w:t>
      </w:r>
      <w:r w:rsidRPr="00101321">
        <w:t xml:space="preserve">, je nachdem, </w:t>
      </w:r>
      <w:r>
        <w:t xml:space="preserve">ob </w:t>
      </w:r>
      <w:r w:rsidR="0030307B">
        <w:t xml:space="preserve">es </w:t>
      </w:r>
      <w:r>
        <w:t xml:space="preserve">sich für eine </w:t>
      </w:r>
      <w:r w:rsidR="0030307B">
        <w:t>i</w:t>
      </w:r>
      <w:r>
        <w:t xml:space="preserve">ntegrierte Rechnungslegung entschieden hat, </w:t>
      </w:r>
    </w:p>
    <w:p w14:paraId="14548CE8" w14:textId="77777777" w:rsidR="0000091E" w:rsidRPr="00101321" w:rsidRDefault="0000091E" w:rsidP="0000091E">
      <w:r w:rsidRPr="00101321">
        <w:t>welche unternehmenseigen</w:t>
      </w:r>
      <w:r>
        <w:t>e</w:t>
      </w:r>
      <w:r w:rsidRPr="00101321">
        <w:t xml:space="preserve"> IT-Infrastruktur bereits vorhanden ist bzw. wie rasch die Rechnungslegung an ein externes Dienstleistungsunternehmen vergebe</w:t>
      </w:r>
      <w:r>
        <w:t>n</w:t>
      </w:r>
      <w:r w:rsidRPr="00101321">
        <w:t xml:space="preserve"> wird</w:t>
      </w:r>
      <w:r>
        <w:t xml:space="preserve">. Jedenfalls würde die Übernahme der Musterrechnungsvorgaben (oder Teile davon) den gesamten Prozess </w:t>
      </w:r>
      <w:proofErr w:type="spellStart"/>
      <w:r>
        <w:t>bzw</w:t>
      </w:r>
      <w:proofErr w:type="spellEnd"/>
      <w:r>
        <w:t xml:space="preserve"> eventuelle Nachbearbeitungszeiten verkürzen.</w:t>
      </w:r>
    </w:p>
    <w:p w14:paraId="0AAE4EE4" w14:textId="77777777" w:rsidR="0000091E" w:rsidRDefault="0000091E" w:rsidP="0000091E"/>
    <w:p w14:paraId="5C15338E" w14:textId="77777777" w:rsidR="0000091E" w:rsidRDefault="0000091E" w:rsidP="00744141">
      <w:pPr>
        <w:pStyle w:val="berschrift2"/>
        <w:keepNext/>
        <w:keepLines/>
        <w:widowControl/>
        <w:numPr>
          <w:ilvl w:val="0"/>
          <w:numId w:val="24"/>
        </w:numPr>
        <w:overflowPunct/>
        <w:autoSpaceDE/>
        <w:autoSpaceDN/>
        <w:adjustRightInd/>
        <w:spacing w:before="200" w:after="0" w:line="276" w:lineRule="auto"/>
        <w:jc w:val="left"/>
        <w:textAlignment w:val="auto"/>
      </w:pPr>
      <w:bookmarkStart w:id="80" w:name="_Toc415213582"/>
      <w:bookmarkStart w:id="81" w:name="_Toc419284227"/>
      <w:bookmarkStart w:id="82" w:name="_Ref369189614"/>
      <w:bookmarkStart w:id="83" w:name="_Toc379201268"/>
      <w:bookmarkStart w:id="84" w:name="_Toc31376457"/>
      <w:bookmarkEnd w:id="80"/>
      <w:bookmarkEnd w:id="81"/>
      <w:r>
        <w:t>Informationspflichten</w:t>
      </w:r>
      <w:bookmarkEnd w:id="82"/>
      <w:bookmarkEnd w:id="83"/>
      <w:r w:rsidR="00695948">
        <w:t xml:space="preserve"> gegenüber Kunden</w:t>
      </w:r>
      <w:bookmarkEnd w:id="84"/>
    </w:p>
    <w:p w14:paraId="3467A74D" w14:textId="77777777" w:rsidR="00C025BD" w:rsidRDefault="00C025BD" w:rsidP="0000091E">
      <w:pPr>
        <w:rPr>
          <w:b/>
        </w:rPr>
      </w:pPr>
    </w:p>
    <w:p w14:paraId="078A1137" w14:textId="77777777" w:rsidR="0000091E" w:rsidRPr="00FB2F80" w:rsidRDefault="0000091E" w:rsidP="0000091E">
      <w:pPr>
        <w:rPr>
          <w:b/>
        </w:rPr>
      </w:pPr>
      <w:r>
        <w:rPr>
          <w:b/>
        </w:rPr>
        <w:t>Rechtliche</w:t>
      </w:r>
      <w:r w:rsidRPr="00FB2F80">
        <w:rPr>
          <w:b/>
        </w:rPr>
        <w:t xml:space="preserve"> Grundlagen</w:t>
      </w:r>
    </w:p>
    <w:p w14:paraId="56C30F18" w14:textId="77777777" w:rsidR="0000091E" w:rsidRDefault="00F26E1C" w:rsidP="0000091E">
      <w:hyperlink r:id="rId120" w:history="1">
        <w:r w:rsidR="0000091E" w:rsidRPr="00187697">
          <w:rPr>
            <w:rStyle w:val="Hyperlink"/>
          </w:rPr>
          <w:t xml:space="preserve">§ 81 </w:t>
        </w:r>
        <w:proofErr w:type="spellStart"/>
        <w:r w:rsidR="0000091E" w:rsidRPr="00187697">
          <w:rPr>
            <w:rStyle w:val="Hyperlink"/>
          </w:rPr>
          <w:t>ElWOG</w:t>
        </w:r>
        <w:proofErr w:type="spellEnd"/>
        <w:r w:rsidR="0000091E" w:rsidRPr="00187697">
          <w:rPr>
            <w:rStyle w:val="Hyperlink"/>
          </w:rPr>
          <w:t xml:space="preserve"> 2010</w:t>
        </w:r>
      </w:hyperlink>
    </w:p>
    <w:p w14:paraId="1426FAB1" w14:textId="77777777" w:rsidR="00C025BD" w:rsidRPr="00225206" w:rsidRDefault="00F26E1C" w:rsidP="0000091E">
      <w:pPr>
        <w:rPr>
          <w:lang w:val="de-DE"/>
        </w:rPr>
      </w:pPr>
      <w:hyperlink r:id="rId121" w:anchor="p_p_id_56_INSTANCE_10309A20138_" w:history="1">
        <w:r w:rsidR="0000091E" w:rsidRPr="00CC5D65">
          <w:rPr>
            <w:rStyle w:val="Hyperlink"/>
            <w:lang w:val="de-DE"/>
          </w:rPr>
          <w:t>DAVID-VO 2012</w:t>
        </w:r>
        <w:r w:rsidR="00187697" w:rsidRPr="00CC5D65">
          <w:rPr>
            <w:rStyle w:val="Hyperlink"/>
            <w:lang w:val="de-DE"/>
          </w:rPr>
          <w:t xml:space="preserve"> </w:t>
        </w:r>
        <w:r w:rsidR="00225206" w:rsidRPr="00CC5D65">
          <w:rPr>
            <w:rStyle w:val="Hyperlink"/>
            <w:lang w:val="de-DE"/>
          </w:rPr>
          <w:t>und Ä</w:t>
        </w:r>
        <w:r w:rsidR="00CC5D65">
          <w:rPr>
            <w:rStyle w:val="Hyperlink"/>
            <w:lang w:val="de-DE"/>
          </w:rPr>
          <w:t>nderung der DAVID-</w:t>
        </w:r>
        <w:r w:rsidR="00225206" w:rsidRPr="00CC5D65">
          <w:rPr>
            <w:rStyle w:val="Hyperlink"/>
            <w:lang w:val="de-DE"/>
          </w:rPr>
          <w:t>VO 2012</w:t>
        </w:r>
      </w:hyperlink>
      <w:r w:rsidR="00225206">
        <w:rPr>
          <w:lang w:val="de-DE"/>
        </w:rPr>
        <w:t xml:space="preserve"> </w:t>
      </w:r>
    </w:p>
    <w:p w14:paraId="366C0C27" w14:textId="77777777" w:rsidR="00187697" w:rsidRPr="00225206" w:rsidRDefault="00187697" w:rsidP="0000091E">
      <w:pPr>
        <w:rPr>
          <w:b/>
          <w:lang w:val="de-DE"/>
        </w:rPr>
      </w:pPr>
    </w:p>
    <w:p w14:paraId="6A1B0251" w14:textId="77777777" w:rsidR="0000091E" w:rsidRPr="00FB2F80" w:rsidRDefault="0000091E" w:rsidP="0000091E">
      <w:pPr>
        <w:rPr>
          <w:b/>
        </w:rPr>
      </w:pPr>
      <w:r>
        <w:rPr>
          <w:b/>
        </w:rPr>
        <w:t>Kurzbeschreibung</w:t>
      </w:r>
    </w:p>
    <w:p w14:paraId="2934C893" w14:textId="23BFEE7B" w:rsidR="00C025BD" w:rsidRDefault="0000091E" w:rsidP="0000091E">
      <w:r>
        <w:t xml:space="preserve">An Endverbraucher gerichtetes </w:t>
      </w:r>
      <w:r w:rsidRPr="002B194B">
        <w:t>Informations- und Werbematerial</w:t>
      </w:r>
      <w:r>
        <w:t xml:space="preserve"> sowie Rechnungen sind transparent und konsumentenfreundlich zu gestalten.</w:t>
      </w:r>
      <w:r w:rsidRPr="000946F5">
        <w:t xml:space="preserve"> Die Komponenten des Systemnutzungsentgelts, Steuern und Abgaben sowie der Preis für elektrische Energie müssen immer getrennt ausgewiesen werden. Die Angabe des Energiepreises hat immer in Cent/kWh und unter Angabe eines allfälligen Grundpreises zu erfolgen. </w:t>
      </w:r>
      <w:r>
        <w:t xml:space="preserve">Gleichzeitig werden Mindestanforderungen für Rechnungen und Rechnungslegung in </w:t>
      </w:r>
      <w:hyperlink r:id="rId122" w:history="1">
        <w:r w:rsidRPr="00187697">
          <w:rPr>
            <w:rStyle w:val="Hyperlink"/>
          </w:rPr>
          <w:t xml:space="preserve">§ 81 </w:t>
        </w:r>
        <w:proofErr w:type="spellStart"/>
        <w:r w:rsidRPr="00187697">
          <w:rPr>
            <w:rStyle w:val="Hyperlink"/>
          </w:rPr>
          <w:t>ElWOG</w:t>
        </w:r>
        <w:proofErr w:type="spellEnd"/>
        <w:r w:rsidRPr="00187697">
          <w:rPr>
            <w:rStyle w:val="Hyperlink"/>
          </w:rPr>
          <w:t xml:space="preserve"> 2010</w:t>
        </w:r>
      </w:hyperlink>
      <w:r>
        <w:t xml:space="preserve"> festgelegt (Siehe auch den Abschnitt </w:t>
      </w:r>
      <w:r w:rsidR="00C63271">
        <w:fldChar w:fldCharType="begin"/>
      </w:r>
      <w:r>
        <w:instrText xml:space="preserve"> REF _Ref378658846 \h </w:instrText>
      </w:r>
      <w:r w:rsidR="00C63271">
        <w:fldChar w:fldCharType="separate"/>
      </w:r>
      <w:r w:rsidR="0008678F" w:rsidRPr="00856227">
        <w:t>Rechnungslegung</w:t>
      </w:r>
      <w:r w:rsidR="00C63271">
        <w:fldChar w:fldCharType="end"/>
      </w:r>
      <w:r>
        <w:t>).</w:t>
      </w:r>
      <w:r w:rsidR="005B3AC8">
        <w:t xml:space="preserve"> Die Nichtbeachtung der Vorgaben des § 81 </w:t>
      </w:r>
      <w:proofErr w:type="spellStart"/>
      <w:r w:rsidR="005B3AC8">
        <w:lastRenderedPageBreak/>
        <w:t>ElWOG</w:t>
      </w:r>
      <w:proofErr w:type="spellEnd"/>
      <w:r w:rsidR="005B3AC8">
        <w:t xml:space="preserve"> 2010 begründet </w:t>
      </w:r>
      <w:proofErr w:type="spellStart"/>
      <w:r w:rsidR="00B615B0">
        <w:t>gem</w:t>
      </w:r>
      <w:proofErr w:type="spellEnd"/>
      <w:r w:rsidR="00B615B0">
        <w:t xml:space="preserve"> § 99 Abs 2 Z 1</w:t>
      </w:r>
      <w:r w:rsidR="00D52D14">
        <w:t>2</w:t>
      </w:r>
      <w:r w:rsidR="00B615B0">
        <w:t xml:space="preserve"> </w:t>
      </w:r>
      <w:proofErr w:type="spellStart"/>
      <w:r w:rsidR="00B615B0">
        <w:t>ElWOG</w:t>
      </w:r>
      <w:proofErr w:type="spellEnd"/>
      <w:r w:rsidR="00B615B0">
        <w:t xml:space="preserve"> 2010 </w:t>
      </w:r>
      <w:r w:rsidR="005B3AC8">
        <w:t xml:space="preserve">eine Verwaltungsübertretung </w:t>
      </w:r>
      <w:r w:rsidR="00B615B0">
        <w:t>und allenfalls eine Geldstrafe bis zu 75.000 Euro.</w:t>
      </w:r>
    </w:p>
    <w:p w14:paraId="68FF7F80" w14:textId="1BC0EDBD" w:rsidR="0000091E" w:rsidRDefault="0000091E" w:rsidP="0000091E">
      <w:r>
        <w:t xml:space="preserve">Jeder Lieferant ist gemäß </w:t>
      </w:r>
      <w:proofErr w:type="spellStart"/>
      <w:r>
        <w:t>ElWOG</w:t>
      </w:r>
      <w:proofErr w:type="spellEnd"/>
      <w:r>
        <w:t xml:space="preserve"> 2010 </w:t>
      </w:r>
      <w:proofErr w:type="spellStart"/>
      <w:r>
        <w:t>bw</w:t>
      </w:r>
      <w:r w:rsidR="008C245A">
        <w:t>z</w:t>
      </w:r>
      <w:proofErr w:type="spellEnd"/>
      <w:r>
        <w:t>. DAVID-VO 2012 verpflichtet</w:t>
      </w:r>
      <w:r w:rsidR="001777C6">
        <w:t>,</w:t>
      </w:r>
      <w:r>
        <w:t xml:space="preserve"> jedem seiner Endverbraucher die bereits ein intelligentes Messgerät (Smart Meter) installiert haben</w:t>
      </w:r>
      <w:r w:rsidR="001777C6">
        <w:t>,</w:t>
      </w:r>
      <w:r>
        <w:t xml:space="preserve"> eine monatliche Verbrauchs- und Stromkosteninformation kostenlos zu übermitteln. Dem Endverbraucher ist dabei die Wahlmöglichkeit einzuräumen, die Verbrauchsinformation auf Verlangen kostenlos in Papierform zu erhalten. Die Regelungen zur Aufbereitung und zum Inhalt dieser Information finden sich in </w:t>
      </w:r>
      <w:hyperlink r:id="rId123" w:anchor="p_p_id_56_INSTANCE_10309A20138_" w:history="1">
        <w:r w:rsidRPr="00AC01B1">
          <w:rPr>
            <w:rStyle w:val="Hyperlink"/>
          </w:rPr>
          <w:t>§§ 5 und 6 der DAVID-VO 2012</w:t>
        </w:r>
      </w:hyperlink>
      <w:r>
        <w:t>.</w:t>
      </w:r>
    </w:p>
    <w:p w14:paraId="2CCB3202" w14:textId="77777777" w:rsidR="00C025BD" w:rsidRDefault="00C025BD" w:rsidP="0000091E"/>
    <w:p w14:paraId="0A4A4EC5" w14:textId="77777777" w:rsidR="0000091E" w:rsidRDefault="0000091E" w:rsidP="0000091E">
      <w:r>
        <w:t xml:space="preserve">Gegenüber Kunden, deren Verbrauch nicht mit </w:t>
      </w:r>
      <w:r w:rsidRPr="000F5CDF">
        <w:t>intelligente</w:t>
      </w:r>
      <w:r>
        <w:t>n</w:t>
      </w:r>
      <w:r w:rsidRPr="000F5CDF">
        <w:t xml:space="preserve"> Messgerät</w:t>
      </w:r>
      <w:r>
        <w:t xml:space="preserve">en gemessen wird, finden sich in </w:t>
      </w:r>
      <w:hyperlink r:id="rId124" w:anchor="p_p_id_56_INSTANCE_10309A20138_" w:history="1">
        <w:r w:rsidRPr="00AC01B1">
          <w:rPr>
            <w:rStyle w:val="Hyperlink"/>
          </w:rPr>
          <w:t>§ 7 DAVID-VO 2012</w:t>
        </w:r>
      </w:hyperlink>
      <w:r>
        <w:t xml:space="preserve"> Vorgaben zur Verbrauchs- und Stromkosteninformation, die zu berücksichtigen sind. </w:t>
      </w:r>
    </w:p>
    <w:p w14:paraId="5FBC9F73" w14:textId="77777777" w:rsidR="00C025BD" w:rsidRDefault="00C025BD" w:rsidP="0000091E"/>
    <w:p w14:paraId="623DEE58" w14:textId="77777777" w:rsidR="0000091E" w:rsidRPr="00FB2F80" w:rsidRDefault="0000091E" w:rsidP="0000091E">
      <w:pPr>
        <w:rPr>
          <w:b/>
        </w:rPr>
      </w:pPr>
      <w:r w:rsidRPr="00FB2F80">
        <w:rPr>
          <w:b/>
        </w:rPr>
        <w:t>Handlungsanweisung</w:t>
      </w:r>
    </w:p>
    <w:p w14:paraId="7CED9190" w14:textId="77777777" w:rsidR="0000091E" w:rsidRDefault="0000091E" w:rsidP="0000091E">
      <w:r w:rsidRPr="00ED592D">
        <w:t xml:space="preserve">Vor der </w:t>
      </w:r>
      <w:r>
        <w:t xml:space="preserve">Erstellung von Informations- und Werbematerialien </w:t>
      </w:r>
      <w:r w:rsidRPr="00ED592D">
        <w:t>wird dringend empfohlen, sich mit den einschlägigen energierechtlichen sowie zivilrechtlichen, insbesondere konsumentenschutzrechtlichen Vorschriften vertraut zu machen.</w:t>
      </w:r>
    </w:p>
    <w:p w14:paraId="40F63B39" w14:textId="77777777" w:rsidR="00C025BD" w:rsidRDefault="00C025BD" w:rsidP="0000091E"/>
    <w:p w14:paraId="414AC190" w14:textId="536D358A" w:rsidR="0000091E" w:rsidRDefault="0000091E" w:rsidP="0000091E">
      <w:r>
        <w:t xml:space="preserve">Inhalte der Verbrauchs- und Stromkosteninformationen, wie auch deren Frequenz, </w:t>
      </w:r>
      <w:r w:rsidR="00D52D14">
        <w:t xml:space="preserve">sind </w:t>
      </w:r>
      <w:r>
        <w:t>entsprechend der Messungsart des Verbrauchs Ihrer Kunden vor</w:t>
      </w:r>
      <w:r w:rsidR="001777C6">
        <w:t>-</w:t>
      </w:r>
      <w:r>
        <w:t xml:space="preserve"> bzw. aufbereiten.</w:t>
      </w:r>
    </w:p>
    <w:p w14:paraId="6BF09291" w14:textId="77777777" w:rsidR="00C025BD" w:rsidRDefault="00C025BD" w:rsidP="0000091E"/>
    <w:p w14:paraId="0733BC0A" w14:textId="1FABCCB8" w:rsidR="0000091E" w:rsidRDefault="0000091E" w:rsidP="0000091E">
      <w:r>
        <w:t xml:space="preserve">Um dem </w:t>
      </w:r>
      <w:r w:rsidRPr="00A21DF9">
        <w:t xml:space="preserve">Kunden </w:t>
      </w:r>
      <w:r>
        <w:t>mit installierten Smart Metern monatliche</w:t>
      </w:r>
      <w:r w:rsidRPr="00A21DF9">
        <w:t xml:space="preserve"> Verbrauchs- und Stromkosten</w:t>
      </w:r>
      <w:r>
        <w:softHyphen/>
      </w:r>
      <w:r w:rsidRPr="00A21DF9">
        <w:t>information</w:t>
      </w:r>
      <w:r>
        <w:t xml:space="preserve"> in elektronischer Form zur Verfügung stellen zu können, ist es empfehlenswert</w:t>
      </w:r>
      <w:r w:rsidR="001777C6">
        <w:t>,</w:t>
      </w:r>
      <w:r>
        <w:t xml:space="preserve"> die E-Mail-Adressen der Kunden so früh als möglich zu erheben. Es bleibt Ihnen natürlich freigestellt, diese Informationen zusätzlich auch via Webseite bzw. weiteren mobilen Anwendungen (Smartphone Apps) zur Verfügung zu stellen. </w:t>
      </w:r>
    </w:p>
    <w:p w14:paraId="66C18CBE" w14:textId="77777777" w:rsidR="00C025BD" w:rsidRDefault="00C025BD" w:rsidP="0000091E"/>
    <w:tbl>
      <w:tblPr>
        <w:tblW w:w="0" w:type="auto"/>
        <w:tblInd w:w="55" w:type="dxa"/>
        <w:tblCellMar>
          <w:left w:w="70" w:type="dxa"/>
          <w:right w:w="70" w:type="dxa"/>
        </w:tblCellMar>
        <w:tblLook w:val="04A0" w:firstRow="1" w:lastRow="0" w:firstColumn="1" w:lastColumn="0" w:noHBand="0" w:noVBand="1"/>
      </w:tblPr>
      <w:tblGrid>
        <w:gridCol w:w="9507"/>
      </w:tblGrid>
      <w:tr w:rsidR="006E3ADA" w:rsidRPr="009D6189" w14:paraId="268C4DF6" w14:textId="77777777" w:rsidTr="00ED275C">
        <w:trPr>
          <w:trHeight w:val="255"/>
        </w:trPr>
        <w:tc>
          <w:tcPr>
            <w:tcW w:w="0" w:type="auto"/>
            <w:tcBorders>
              <w:top w:val="nil"/>
              <w:left w:val="nil"/>
              <w:bottom w:val="nil"/>
              <w:right w:val="nil"/>
            </w:tcBorders>
            <w:shd w:val="clear" w:color="000000" w:fill="95B3D7"/>
            <w:noWrap/>
            <w:vAlign w:val="center"/>
            <w:hideMark/>
          </w:tcPr>
          <w:p w14:paraId="2A414F4F" w14:textId="77777777" w:rsidR="006E3ADA" w:rsidRPr="009D6189" w:rsidRDefault="006E3ADA" w:rsidP="00E808A8">
            <w:pPr>
              <w:pStyle w:val="Listenabsatz"/>
              <w:spacing w:line="276" w:lineRule="auto"/>
              <w:ind w:left="0"/>
              <w:rPr>
                <w:b/>
              </w:rPr>
            </w:pPr>
            <w:r>
              <w:rPr>
                <w:b/>
              </w:rPr>
              <w:t>Checkliste –</w:t>
            </w:r>
            <w:r w:rsidRPr="009D6189">
              <w:rPr>
                <w:b/>
              </w:rPr>
              <w:t xml:space="preserve"> Aufbereitung Informationen für Kunden</w:t>
            </w:r>
          </w:p>
        </w:tc>
      </w:tr>
      <w:tr w:rsidR="006E3ADA" w:rsidRPr="00977010" w14:paraId="264A75B7" w14:textId="77777777" w:rsidTr="00E808A8">
        <w:trPr>
          <w:trHeight w:val="510"/>
        </w:trPr>
        <w:tc>
          <w:tcPr>
            <w:tcW w:w="0" w:type="auto"/>
            <w:tcBorders>
              <w:top w:val="single" w:sz="4" w:space="0" w:color="FFFFFF"/>
              <w:left w:val="single" w:sz="4" w:space="0" w:color="FFFFFF"/>
              <w:bottom w:val="single" w:sz="4" w:space="0" w:color="FFFFFF"/>
              <w:right w:val="single" w:sz="4" w:space="0" w:color="FFFFFF"/>
            </w:tcBorders>
            <w:shd w:val="clear" w:color="000000" w:fill="DAE6F2"/>
            <w:vAlign w:val="center"/>
            <w:hideMark/>
          </w:tcPr>
          <w:p w14:paraId="6F979C0C" w14:textId="77777777" w:rsidR="006E3ADA" w:rsidRPr="00977010" w:rsidRDefault="006E3ADA" w:rsidP="00E808A8">
            <w:pPr>
              <w:pStyle w:val="Listenabsatz"/>
              <w:spacing w:line="276" w:lineRule="auto"/>
            </w:pPr>
            <w:r w:rsidRPr="00977010">
              <w:t>Vertraut machen mit einschlägigen gesetzlichen Bestimmungen</w:t>
            </w:r>
          </w:p>
        </w:tc>
      </w:tr>
      <w:tr w:rsidR="006E3ADA" w:rsidRPr="00977010" w14:paraId="464EADF6" w14:textId="77777777" w:rsidTr="00E808A8">
        <w:trPr>
          <w:trHeight w:val="510"/>
        </w:trPr>
        <w:tc>
          <w:tcPr>
            <w:tcW w:w="0" w:type="auto"/>
            <w:tcBorders>
              <w:top w:val="nil"/>
              <w:left w:val="single" w:sz="4" w:space="0" w:color="FFFFFF"/>
              <w:bottom w:val="single" w:sz="4" w:space="0" w:color="FFFFFF"/>
              <w:right w:val="single" w:sz="4" w:space="0" w:color="FFFFFF"/>
            </w:tcBorders>
            <w:shd w:val="clear" w:color="000000" w:fill="BDD1E7"/>
            <w:vAlign w:val="center"/>
            <w:hideMark/>
          </w:tcPr>
          <w:p w14:paraId="1192C2FA" w14:textId="670E4D3C" w:rsidR="006E3ADA" w:rsidRPr="00977010" w:rsidRDefault="006E3ADA" w:rsidP="00E808A8">
            <w:pPr>
              <w:pStyle w:val="Listenabsatz"/>
              <w:spacing w:line="276" w:lineRule="auto"/>
            </w:pPr>
            <w:r w:rsidRPr="00977010">
              <w:t xml:space="preserve">Überprüfung </w:t>
            </w:r>
            <w:r w:rsidR="00FD03D1" w:rsidRPr="00977010">
              <w:t>des Informationsmaterials</w:t>
            </w:r>
            <w:r w:rsidRPr="00977010">
              <w:t xml:space="preserve"> auf Entsprechung </w:t>
            </w:r>
            <w:r w:rsidR="00FD03D1" w:rsidRPr="00977010">
              <w:t>der</w:t>
            </w:r>
            <w:r w:rsidR="00FD03D1">
              <w:t xml:space="preserve"> </w:t>
            </w:r>
            <w:r w:rsidR="00FD03D1" w:rsidRPr="00977010">
              <w:t>gesetzlichen Vorschriften</w:t>
            </w:r>
          </w:p>
        </w:tc>
      </w:tr>
      <w:tr w:rsidR="006E3ADA" w:rsidRPr="00977010" w14:paraId="3B0F0471" w14:textId="77777777" w:rsidTr="00E808A8">
        <w:trPr>
          <w:trHeight w:val="510"/>
        </w:trPr>
        <w:tc>
          <w:tcPr>
            <w:tcW w:w="0" w:type="auto"/>
            <w:tcBorders>
              <w:top w:val="nil"/>
              <w:left w:val="single" w:sz="4" w:space="0" w:color="FFFFFF"/>
              <w:bottom w:val="single" w:sz="4" w:space="0" w:color="FFFFFF"/>
              <w:right w:val="single" w:sz="4" w:space="0" w:color="FFFFFF"/>
            </w:tcBorders>
            <w:shd w:val="clear" w:color="000000" w:fill="DAE6F2"/>
            <w:vAlign w:val="center"/>
            <w:hideMark/>
          </w:tcPr>
          <w:p w14:paraId="53749899" w14:textId="46CEA00F" w:rsidR="006E3ADA" w:rsidRPr="00977010" w:rsidRDefault="006E3ADA" w:rsidP="00E808A8">
            <w:pPr>
              <w:pStyle w:val="Listenabsatz"/>
              <w:spacing w:line="276" w:lineRule="auto"/>
            </w:pPr>
            <w:r w:rsidRPr="00977010">
              <w:t>Überprüfung des</w:t>
            </w:r>
            <w:r>
              <w:t xml:space="preserve"> Werbe</w:t>
            </w:r>
            <w:r w:rsidRPr="00977010">
              <w:t>material</w:t>
            </w:r>
            <w:r>
              <w:t>s</w:t>
            </w:r>
            <w:r w:rsidRPr="00977010">
              <w:t xml:space="preserve"> auf Entsprechung </w:t>
            </w:r>
            <w:r w:rsidR="00FD03D1" w:rsidRPr="00977010">
              <w:t>der</w:t>
            </w:r>
            <w:r w:rsidR="00FD03D1">
              <w:t xml:space="preserve"> </w:t>
            </w:r>
            <w:r w:rsidR="00FD03D1" w:rsidRPr="00977010">
              <w:t>gesetzlichen Vorschriften</w:t>
            </w:r>
          </w:p>
        </w:tc>
      </w:tr>
      <w:tr w:rsidR="006E3ADA" w:rsidRPr="00977010" w14:paraId="512F8B58" w14:textId="77777777" w:rsidTr="00E808A8">
        <w:trPr>
          <w:trHeight w:val="765"/>
        </w:trPr>
        <w:tc>
          <w:tcPr>
            <w:tcW w:w="0" w:type="auto"/>
            <w:tcBorders>
              <w:top w:val="nil"/>
              <w:left w:val="single" w:sz="4" w:space="0" w:color="FFFFFF"/>
              <w:bottom w:val="single" w:sz="4" w:space="0" w:color="FFFFFF"/>
              <w:right w:val="single" w:sz="4" w:space="0" w:color="FFFFFF"/>
            </w:tcBorders>
            <w:shd w:val="clear" w:color="000000" w:fill="BDD1E7"/>
            <w:vAlign w:val="center"/>
            <w:hideMark/>
          </w:tcPr>
          <w:p w14:paraId="4A2A3B3E" w14:textId="77777777" w:rsidR="006E3ADA" w:rsidRPr="00977010" w:rsidRDefault="006E3ADA" w:rsidP="00E808A8">
            <w:pPr>
              <w:pStyle w:val="Listenabsatz"/>
              <w:spacing w:line="276" w:lineRule="auto"/>
            </w:pPr>
            <w:r w:rsidRPr="00977010">
              <w:t>Aufbereitung einer monatlichen Verbrauchs- und Stromkosteninformation gemäß §§ 5,6 DAVID-VO 2012 auf Basis der übermittelten Daten.</w:t>
            </w:r>
          </w:p>
        </w:tc>
      </w:tr>
    </w:tbl>
    <w:p w14:paraId="2801964C" w14:textId="77777777" w:rsidR="00C025BD" w:rsidRDefault="00C025BD" w:rsidP="0000091E">
      <w:pPr>
        <w:rPr>
          <w:b/>
        </w:rPr>
      </w:pPr>
    </w:p>
    <w:p w14:paraId="5FEFA797" w14:textId="77777777" w:rsidR="0000091E" w:rsidRPr="0080696B" w:rsidRDefault="0000091E" w:rsidP="00955CF5">
      <w:pPr>
        <w:keepNext/>
        <w:rPr>
          <w:b/>
        </w:rPr>
      </w:pPr>
      <w:r>
        <w:rPr>
          <w:b/>
        </w:rPr>
        <w:lastRenderedPageBreak/>
        <w:t>Tipps und Hinweise</w:t>
      </w:r>
    </w:p>
    <w:p w14:paraId="07FD3EB9" w14:textId="1FAD5A9B" w:rsidR="0000091E" w:rsidRDefault="0000091E" w:rsidP="00955CF5">
      <w:pPr>
        <w:keepNext/>
      </w:pPr>
      <w:r>
        <w:t>Der Zeitaufwand zur Entsprechung der gesetzlichen Vorschriften betreffend Informations-</w:t>
      </w:r>
      <w:r w:rsidR="001777C6">
        <w:t xml:space="preserve"> </w:t>
      </w:r>
      <w:r>
        <w:t>und Werbematerial kann verkürzt werden</w:t>
      </w:r>
      <w:r w:rsidR="001777C6">
        <w:t>,</w:t>
      </w:r>
      <w:r>
        <w:t xml:space="preserve"> indem man sich vorab ausreichend mit den gesetzlichen Bestimmungen vertraut macht. </w:t>
      </w:r>
    </w:p>
    <w:p w14:paraId="195C0425" w14:textId="34605A16" w:rsidR="0000091E" w:rsidRDefault="0000091E" w:rsidP="0000091E">
      <w:r>
        <w:t>Der Zeitaufwand zur rechtskonformen Aufbereitung von Verbrauchs- und Stromkosteninformation ist stark variabel und hängt</w:t>
      </w:r>
      <w:r w:rsidR="00D52D14">
        <w:t xml:space="preserve"> sowohl</w:t>
      </w:r>
      <w:r>
        <w:t xml:space="preserve"> von den Daten selbst als auch von der bereits verfügbaren IT-Infrastruktur im Unternehmen ab.</w:t>
      </w:r>
    </w:p>
    <w:p w14:paraId="7A17B71C" w14:textId="77777777" w:rsidR="0000091E" w:rsidRPr="00E96459" w:rsidRDefault="0000091E" w:rsidP="00744141">
      <w:pPr>
        <w:pStyle w:val="berschrift2"/>
        <w:keepNext/>
        <w:keepLines/>
        <w:widowControl/>
        <w:numPr>
          <w:ilvl w:val="0"/>
          <w:numId w:val="24"/>
        </w:numPr>
        <w:overflowPunct/>
        <w:autoSpaceDE/>
        <w:autoSpaceDN/>
        <w:adjustRightInd/>
        <w:spacing w:before="200" w:after="0" w:line="276" w:lineRule="auto"/>
        <w:jc w:val="left"/>
        <w:textAlignment w:val="auto"/>
      </w:pPr>
      <w:bookmarkStart w:id="85" w:name="_Toc353979570"/>
      <w:bookmarkStart w:id="86" w:name="_Toc353968611"/>
      <w:bookmarkStart w:id="87" w:name="_Toc353977198"/>
      <w:bookmarkStart w:id="88" w:name="_Toc353977344"/>
      <w:bookmarkStart w:id="89" w:name="_Toc353979571"/>
      <w:bookmarkStart w:id="90" w:name="_Ref378075267"/>
      <w:bookmarkStart w:id="91" w:name="_Ref378075285"/>
      <w:bookmarkStart w:id="92" w:name="_Ref378075299"/>
      <w:bookmarkStart w:id="93" w:name="_Toc379201269"/>
      <w:bookmarkStart w:id="94" w:name="_Toc31376458"/>
      <w:bookmarkStart w:id="95" w:name="_Toc353353916"/>
      <w:bookmarkEnd w:id="85"/>
      <w:bookmarkEnd w:id="86"/>
      <w:bookmarkEnd w:id="87"/>
      <w:bookmarkEnd w:id="88"/>
      <w:bookmarkEnd w:id="89"/>
      <w:r>
        <w:t>Stromkennzeichnung</w:t>
      </w:r>
      <w:bookmarkEnd w:id="90"/>
      <w:bookmarkEnd w:id="91"/>
      <w:bookmarkEnd w:id="92"/>
      <w:bookmarkEnd w:id="93"/>
      <w:bookmarkEnd w:id="94"/>
    </w:p>
    <w:p w14:paraId="7AD8ABCC" w14:textId="77777777" w:rsidR="0000091E" w:rsidRDefault="0000091E" w:rsidP="00CF7761">
      <w:pPr>
        <w:keepNext/>
        <w:autoSpaceDE w:val="0"/>
        <w:autoSpaceDN w:val="0"/>
        <w:adjustRightInd w:val="0"/>
        <w:spacing w:after="240" w:line="240" w:lineRule="auto"/>
        <w:rPr>
          <w:rFonts w:ascii="Helv" w:hAnsi="Helv" w:cs="Helv"/>
          <w:color w:val="000000"/>
        </w:rPr>
      </w:pPr>
    </w:p>
    <w:p w14:paraId="6543B069" w14:textId="77777777" w:rsidR="0000091E" w:rsidRPr="00736F66" w:rsidRDefault="00D1140B" w:rsidP="00CF7761">
      <w:pPr>
        <w:keepNext/>
        <w:autoSpaceDE w:val="0"/>
        <w:autoSpaceDN w:val="0"/>
        <w:adjustRightInd w:val="0"/>
        <w:spacing w:after="240"/>
        <w:rPr>
          <w:rFonts w:cstheme="minorHAnsi"/>
          <w:b/>
          <w:bCs/>
          <w:color w:val="000000"/>
        </w:rPr>
      </w:pPr>
      <w:r>
        <w:rPr>
          <w:rFonts w:cstheme="minorHAnsi"/>
          <w:b/>
          <w:bCs/>
          <w:color w:val="000000"/>
        </w:rPr>
        <w:t>Rechtliche Grundlagen</w:t>
      </w:r>
    </w:p>
    <w:p w14:paraId="1393168D" w14:textId="7B0C33AE" w:rsidR="00792936" w:rsidRDefault="00F26E1C" w:rsidP="00792936">
      <w:pPr>
        <w:keepNext/>
      </w:pPr>
      <w:hyperlink r:id="rId125" w:history="1">
        <w:r w:rsidR="00792936" w:rsidRPr="001F44DC">
          <w:rPr>
            <w:rStyle w:val="Hyperlink"/>
          </w:rPr>
          <w:t>RICHTLINIE (EU) 2019/944</w:t>
        </w:r>
      </w:hyperlink>
    </w:p>
    <w:p w14:paraId="0CD4C8A9" w14:textId="229A3A3D" w:rsidR="00792936" w:rsidRPr="00736F66" w:rsidRDefault="00F26E1C" w:rsidP="00792936">
      <w:pPr>
        <w:keepNext/>
        <w:rPr>
          <w:rFonts w:cstheme="minorHAnsi"/>
        </w:rPr>
      </w:pPr>
      <w:hyperlink r:id="rId126" w:history="1">
        <w:r w:rsidR="00A94473" w:rsidRPr="00A94473">
          <w:rPr>
            <w:rStyle w:val="Hyperlink"/>
          </w:rPr>
          <w:t>RICHTLINIE (EU) 2018/2001</w:t>
        </w:r>
      </w:hyperlink>
    </w:p>
    <w:p w14:paraId="0148BDE0" w14:textId="77777777" w:rsidR="0000091E" w:rsidRPr="00736F66" w:rsidRDefault="00F26E1C" w:rsidP="00CF7761">
      <w:pPr>
        <w:keepNext/>
        <w:rPr>
          <w:rFonts w:cstheme="minorHAnsi"/>
        </w:rPr>
      </w:pPr>
      <w:hyperlink r:id="rId127" w:history="1">
        <w:r w:rsidR="0000091E" w:rsidRPr="00187697">
          <w:rPr>
            <w:rStyle w:val="Hyperlink"/>
            <w:rFonts w:cstheme="minorHAnsi"/>
          </w:rPr>
          <w:t>§§ 78 bis 79a</w:t>
        </w:r>
        <w:r w:rsidR="00187697" w:rsidRPr="00187697">
          <w:rPr>
            <w:rStyle w:val="Hyperlink"/>
            <w:rFonts w:cstheme="minorHAnsi"/>
          </w:rPr>
          <w:t xml:space="preserve"> </w:t>
        </w:r>
        <w:proofErr w:type="spellStart"/>
        <w:r w:rsidR="00187697" w:rsidRPr="00187697">
          <w:rPr>
            <w:rStyle w:val="Hyperlink"/>
            <w:rFonts w:cstheme="minorHAnsi"/>
          </w:rPr>
          <w:t>ElWOG</w:t>
        </w:r>
        <w:proofErr w:type="spellEnd"/>
        <w:r w:rsidR="00187697" w:rsidRPr="00187697">
          <w:rPr>
            <w:rStyle w:val="Hyperlink"/>
            <w:rFonts w:cstheme="minorHAnsi"/>
          </w:rPr>
          <w:t xml:space="preserve"> 2010</w:t>
        </w:r>
      </w:hyperlink>
    </w:p>
    <w:p w14:paraId="5EA8D9C5" w14:textId="77777777" w:rsidR="0000091E" w:rsidRPr="00AE7547" w:rsidRDefault="00AE7547" w:rsidP="0000091E">
      <w:pPr>
        <w:rPr>
          <w:rStyle w:val="Hyperlink"/>
          <w:rFonts w:cstheme="minorHAnsi"/>
        </w:rPr>
      </w:pPr>
      <w:r>
        <w:rPr>
          <w:rFonts w:cstheme="minorHAnsi"/>
        </w:rPr>
        <w:fldChar w:fldCharType="begin"/>
      </w:r>
      <w:r w:rsidR="003C76D5">
        <w:rPr>
          <w:rFonts w:cstheme="minorHAnsi"/>
        </w:rPr>
        <w:instrText>HYPERLINK "https://www.e-control.at/recht/bundesrecht/strom/verordnungen" \l "p_p_id_56_INSTANCE_10309A20137_"</w:instrText>
      </w:r>
      <w:r>
        <w:rPr>
          <w:rFonts w:cstheme="minorHAnsi"/>
        </w:rPr>
        <w:fldChar w:fldCharType="separate"/>
      </w:r>
      <w:proofErr w:type="spellStart"/>
      <w:r w:rsidR="0000091E" w:rsidRPr="00AE7547">
        <w:rPr>
          <w:rStyle w:val="Hyperlink"/>
          <w:rFonts w:cstheme="minorHAnsi"/>
        </w:rPr>
        <w:t>StromkennzeichnungsVO</w:t>
      </w:r>
      <w:proofErr w:type="spellEnd"/>
    </w:p>
    <w:p w14:paraId="0EB73888" w14:textId="77777777" w:rsidR="009864A3" w:rsidRDefault="00AE7547" w:rsidP="0000091E">
      <w:pPr>
        <w:autoSpaceDE w:val="0"/>
        <w:autoSpaceDN w:val="0"/>
        <w:adjustRightInd w:val="0"/>
        <w:rPr>
          <w:rFonts w:cstheme="minorHAnsi"/>
          <w:b/>
        </w:rPr>
      </w:pPr>
      <w:r>
        <w:rPr>
          <w:rFonts w:cstheme="minorHAnsi"/>
        </w:rPr>
        <w:fldChar w:fldCharType="end"/>
      </w:r>
    </w:p>
    <w:p w14:paraId="26006FCE" w14:textId="77777777" w:rsidR="0000091E" w:rsidRPr="00736F66" w:rsidRDefault="0000091E" w:rsidP="00415027">
      <w:pPr>
        <w:keepNext/>
        <w:autoSpaceDE w:val="0"/>
        <w:autoSpaceDN w:val="0"/>
        <w:adjustRightInd w:val="0"/>
        <w:rPr>
          <w:rFonts w:cstheme="minorHAnsi"/>
          <w:b/>
        </w:rPr>
      </w:pPr>
      <w:r w:rsidRPr="00736F66">
        <w:rPr>
          <w:rFonts w:cstheme="minorHAnsi"/>
          <w:b/>
        </w:rPr>
        <w:t>Kurzbeschreibung</w:t>
      </w:r>
    </w:p>
    <w:p w14:paraId="79CE06BA" w14:textId="0C297A84" w:rsidR="0000091E" w:rsidRDefault="0000091E" w:rsidP="00415027">
      <w:pPr>
        <w:keepNext/>
        <w:autoSpaceDE w:val="0"/>
        <w:autoSpaceDN w:val="0"/>
        <w:adjustRightInd w:val="0"/>
        <w:rPr>
          <w:rFonts w:cstheme="minorHAnsi"/>
        </w:rPr>
      </w:pPr>
      <w:r w:rsidRPr="00736F66">
        <w:rPr>
          <w:rFonts w:cstheme="minorHAnsi"/>
        </w:rPr>
        <w:t>Stromlieferanten, die in Österreich Endkunden beliefern</w:t>
      </w:r>
      <w:r w:rsidR="001777C6">
        <w:rPr>
          <w:rFonts w:cstheme="minorHAnsi"/>
        </w:rPr>
        <w:t>,</w:t>
      </w:r>
      <w:r w:rsidRPr="00736F66">
        <w:rPr>
          <w:rFonts w:cstheme="minorHAnsi"/>
        </w:rPr>
        <w:t xml:space="preserve"> sind gesetzlich verpflichtet, die Primärenergieträgeranteile der Stromerzeugung </w:t>
      </w:r>
      <w:r>
        <w:rPr>
          <w:rFonts w:cstheme="minorHAnsi"/>
        </w:rPr>
        <w:t>Ihren</w:t>
      </w:r>
      <w:r w:rsidRPr="00736F66">
        <w:rPr>
          <w:rFonts w:cstheme="minorHAnsi"/>
        </w:rPr>
        <w:t xml:space="preserve"> Endkunden zur Kenntnis zu bringen (siehe </w:t>
      </w:r>
      <w:hyperlink r:id="rId128" w:history="1">
        <w:r w:rsidRPr="002B40C4">
          <w:rPr>
            <w:rStyle w:val="Hyperlink"/>
            <w:rFonts w:cstheme="minorHAnsi"/>
          </w:rPr>
          <w:t>§78 Abs 1</w:t>
        </w:r>
        <w:r w:rsidR="002B40C4" w:rsidRPr="002B40C4">
          <w:rPr>
            <w:rStyle w:val="Hyperlink"/>
            <w:rFonts w:cstheme="minorHAnsi"/>
          </w:rPr>
          <w:t xml:space="preserve"> </w:t>
        </w:r>
        <w:proofErr w:type="spellStart"/>
        <w:r w:rsidR="002B40C4" w:rsidRPr="002B40C4">
          <w:rPr>
            <w:rStyle w:val="Hyperlink"/>
            <w:rFonts w:cstheme="minorHAnsi"/>
          </w:rPr>
          <w:t>ElWOG</w:t>
        </w:r>
        <w:proofErr w:type="spellEnd"/>
        <w:r w:rsidR="002B40C4" w:rsidRPr="002B40C4">
          <w:rPr>
            <w:rStyle w:val="Hyperlink"/>
            <w:rFonts w:cstheme="minorHAnsi"/>
          </w:rPr>
          <w:t xml:space="preserve"> 2010</w:t>
        </w:r>
      </w:hyperlink>
      <w:r w:rsidRPr="00736F66">
        <w:rPr>
          <w:rFonts w:cstheme="minorHAnsi"/>
        </w:rPr>
        <w:t>). Die Stromkennzeichnung liefert dem Endkunden Informationen über den Versorgungsmix, den Umweltauswirkungen sowie d</w:t>
      </w:r>
      <w:r w:rsidR="001777C6">
        <w:rPr>
          <w:rFonts w:cstheme="minorHAnsi"/>
        </w:rPr>
        <w:t>ie</w:t>
      </w:r>
      <w:r w:rsidRPr="00736F66">
        <w:rPr>
          <w:rFonts w:cstheme="minorHAnsi"/>
        </w:rPr>
        <w:t xml:space="preserve"> Herkunft der eingesetzten </w:t>
      </w:r>
      <w:r>
        <w:rPr>
          <w:rFonts w:cstheme="minorHAnsi"/>
        </w:rPr>
        <w:t>N</w:t>
      </w:r>
      <w:r w:rsidRPr="00736F66">
        <w:rPr>
          <w:rFonts w:cstheme="minorHAnsi"/>
        </w:rPr>
        <w:t>achweise. Stromhändler, die ohne Übernahme eines Kundenstocks eines anderen Lieferanten neu gegründet werden, oder Stromhändler, die erstmals Endverbraucher mit Elektrizität beliefern, haben erst nach Ablauf eines kompletten Wirtschaftsjahres eine Stromkennzeichnung auf der oder als Anhang</w:t>
      </w:r>
      <w:r>
        <w:rPr>
          <w:rFonts w:cstheme="minorHAnsi"/>
        </w:rPr>
        <w:t xml:space="preserve"> </w:t>
      </w:r>
      <w:r w:rsidRPr="00736F66">
        <w:rPr>
          <w:rFonts w:cstheme="minorHAnsi"/>
        </w:rPr>
        <w:t>zur Stromrechnun</w:t>
      </w:r>
      <w:r>
        <w:rPr>
          <w:rFonts w:cstheme="minorHAnsi"/>
        </w:rPr>
        <w:t>g (Jahresabrechnung) anzuführen.</w:t>
      </w:r>
      <w:r w:rsidR="00DD0985" w:rsidRPr="00DD0985">
        <w:rPr>
          <w:rFonts w:cstheme="minorHAnsi"/>
        </w:rPr>
        <w:t xml:space="preserve"> </w:t>
      </w:r>
      <w:r w:rsidR="00DD0985">
        <w:rPr>
          <w:rFonts w:cstheme="minorHAnsi"/>
        </w:rPr>
        <w:t>In Österreich besteht seit 01.01.2015 die Pflicht zur vollständigen Kennzeichnung sämtlicher Lieferungen mit gesetzeskonformen Nachweisen. Das Ausweisen von „Strom unbekannter Herkunft“ ist dadurch nicht mehr möglich.</w:t>
      </w:r>
    </w:p>
    <w:p w14:paraId="6FE5060D" w14:textId="77777777" w:rsidR="0000091E" w:rsidRDefault="0000091E" w:rsidP="0000091E">
      <w:pPr>
        <w:autoSpaceDE w:val="0"/>
        <w:autoSpaceDN w:val="0"/>
        <w:adjustRightInd w:val="0"/>
        <w:rPr>
          <w:rFonts w:cstheme="minorHAnsi"/>
        </w:rPr>
      </w:pPr>
    </w:p>
    <w:p w14:paraId="402623EC" w14:textId="77777777" w:rsidR="0000091E" w:rsidRPr="00736F66" w:rsidRDefault="00D1140B" w:rsidP="0000091E">
      <w:pPr>
        <w:autoSpaceDE w:val="0"/>
        <w:autoSpaceDN w:val="0"/>
        <w:adjustRightInd w:val="0"/>
        <w:rPr>
          <w:rFonts w:cstheme="minorHAnsi"/>
          <w:b/>
        </w:rPr>
      </w:pPr>
      <w:r>
        <w:rPr>
          <w:rFonts w:cstheme="minorHAnsi"/>
          <w:b/>
        </w:rPr>
        <w:t>Handlungsanweisung</w:t>
      </w:r>
    </w:p>
    <w:p w14:paraId="123CF0AD" w14:textId="73B523CC" w:rsidR="00183596" w:rsidRDefault="0000091E" w:rsidP="00183596">
      <w:pPr>
        <w:autoSpaceDE w:val="0"/>
        <w:autoSpaceDN w:val="0"/>
        <w:adjustRightInd w:val="0"/>
        <w:spacing w:after="240"/>
        <w:rPr>
          <w:rFonts w:cstheme="minorHAnsi"/>
        </w:rPr>
      </w:pPr>
      <w:r>
        <w:rPr>
          <w:rFonts w:cstheme="minorHAnsi"/>
        </w:rPr>
        <w:t>Die Regulierungsbehörde</w:t>
      </w:r>
      <w:r w:rsidRPr="00736F66">
        <w:rPr>
          <w:rFonts w:cstheme="minorHAnsi"/>
        </w:rPr>
        <w:t xml:space="preserve"> ist für die Überwachung der Richtigkeit der Stromkennzeichnung zuständig</w:t>
      </w:r>
      <w:r w:rsidR="002B40C4">
        <w:rPr>
          <w:rFonts w:cstheme="minorHAnsi"/>
        </w:rPr>
        <w:t xml:space="preserve"> </w:t>
      </w:r>
      <w:hyperlink r:id="rId129" w:history="1">
        <w:r w:rsidRPr="002B40C4">
          <w:rPr>
            <w:rStyle w:val="Hyperlink"/>
            <w:rFonts w:cstheme="minorHAnsi"/>
          </w:rPr>
          <w:t xml:space="preserve">(§78 Abs 3 </w:t>
        </w:r>
        <w:proofErr w:type="spellStart"/>
        <w:r w:rsidRPr="002B40C4">
          <w:rPr>
            <w:rStyle w:val="Hyperlink"/>
            <w:rFonts w:cstheme="minorHAnsi"/>
          </w:rPr>
          <w:t>ElWOG</w:t>
        </w:r>
        <w:proofErr w:type="spellEnd"/>
      </w:hyperlink>
      <w:r w:rsidRPr="00211084">
        <w:rPr>
          <w:rFonts w:cstheme="minorHAnsi"/>
        </w:rPr>
        <w:t>).</w:t>
      </w:r>
      <w:r w:rsidRPr="00736F66">
        <w:rPr>
          <w:rFonts w:cstheme="minorHAnsi"/>
        </w:rPr>
        <w:t xml:space="preserve"> Dafür wird jährlich eine Überprüfung von allen relevanten Materialien durchgeführt. Die Überprüfung </w:t>
      </w:r>
      <w:r>
        <w:rPr>
          <w:rFonts w:cstheme="minorHAnsi"/>
        </w:rPr>
        <w:t xml:space="preserve">Ihrer </w:t>
      </w:r>
      <w:r w:rsidRPr="00736F66">
        <w:rPr>
          <w:rFonts w:cstheme="minorHAnsi"/>
        </w:rPr>
        <w:t xml:space="preserve">Stromkennzeichnung sowie die Entwertung der dafür nötigen </w:t>
      </w:r>
      <w:r>
        <w:rPr>
          <w:rFonts w:cstheme="minorHAnsi"/>
        </w:rPr>
        <w:t>N</w:t>
      </w:r>
      <w:r w:rsidRPr="00736F66">
        <w:rPr>
          <w:rFonts w:cstheme="minorHAnsi"/>
        </w:rPr>
        <w:t xml:space="preserve">achweise finden in der Stromnachweisdatenbank statt. </w:t>
      </w:r>
    </w:p>
    <w:p w14:paraId="46E9CB74" w14:textId="77777777" w:rsidR="002737C2" w:rsidRDefault="002737C2">
      <w:pPr>
        <w:spacing w:line="240" w:lineRule="auto"/>
        <w:rPr>
          <w:rFonts w:cstheme="minorHAnsi"/>
        </w:rPr>
      </w:pPr>
      <w:r>
        <w:rPr>
          <w:rFonts w:cstheme="minorHAnsi"/>
        </w:rPr>
        <w:br w:type="page"/>
      </w:r>
    </w:p>
    <w:p w14:paraId="2459698F" w14:textId="100880C0" w:rsidR="00652366" w:rsidRDefault="0000091E" w:rsidP="00652366">
      <w:pPr>
        <w:autoSpaceDE w:val="0"/>
        <w:autoSpaceDN w:val="0"/>
        <w:adjustRightInd w:val="0"/>
        <w:spacing w:after="240"/>
      </w:pPr>
      <w:r>
        <w:rPr>
          <w:rFonts w:cstheme="minorHAnsi"/>
        </w:rPr>
        <w:lastRenderedPageBreak/>
        <w:t xml:space="preserve">Die </w:t>
      </w:r>
      <w:r w:rsidRPr="00736F66">
        <w:rPr>
          <w:rFonts w:cstheme="minorHAnsi"/>
        </w:rPr>
        <w:t xml:space="preserve">technischen Details </w:t>
      </w:r>
      <w:r>
        <w:rPr>
          <w:rFonts w:cstheme="minorHAnsi"/>
        </w:rPr>
        <w:t xml:space="preserve">und Handlungsanweisungen finden Sie </w:t>
      </w:r>
      <w:r w:rsidRPr="00736F66">
        <w:rPr>
          <w:rFonts w:cstheme="minorHAnsi"/>
        </w:rPr>
        <w:t xml:space="preserve">im </w:t>
      </w:r>
      <w:r>
        <w:rPr>
          <w:rFonts w:cstheme="minorHAnsi"/>
        </w:rPr>
        <w:t>Handbuch zu</w:t>
      </w:r>
      <w:r w:rsidR="00183596">
        <w:rPr>
          <w:rFonts w:cstheme="minorHAnsi"/>
        </w:rPr>
        <w:t>m</w:t>
      </w:r>
      <w:r>
        <w:rPr>
          <w:rFonts w:cstheme="minorHAnsi"/>
        </w:rPr>
        <w:t xml:space="preserve"> Stromkennzeichnung</w:t>
      </w:r>
      <w:r w:rsidR="00183596">
        <w:rPr>
          <w:rFonts w:cstheme="minorHAnsi"/>
        </w:rPr>
        <w:t xml:space="preserve">sbericht: </w:t>
      </w:r>
      <w:hyperlink r:id="rId130" w:history="1">
        <w:r w:rsidR="00652366" w:rsidRPr="00BC0270">
          <w:rPr>
            <w:rStyle w:val="Hyperlink"/>
          </w:rPr>
          <w:t>https://www.e-control.at/marktteilnehmer/oeko-energie/stromkennzeichnung/jaehrliche-ueberpruefung-der-stromkennzeichnung</w:t>
        </w:r>
      </w:hyperlink>
      <w:r w:rsidR="004610BC" w:rsidRPr="004610BC">
        <w:t xml:space="preserve"> </w:t>
      </w:r>
    </w:p>
    <w:p w14:paraId="2587C80B" w14:textId="48B00916" w:rsidR="00501884" w:rsidRDefault="0000091E" w:rsidP="00C545DF">
      <w:pPr>
        <w:autoSpaceDE w:val="0"/>
        <w:autoSpaceDN w:val="0"/>
        <w:adjustRightInd w:val="0"/>
        <w:spacing w:after="240" w:line="240" w:lineRule="auto"/>
        <w:rPr>
          <w:rFonts w:cstheme="minorHAnsi"/>
        </w:rPr>
      </w:pPr>
      <w:r w:rsidRPr="00736F66">
        <w:rPr>
          <w:rFonts w:cstheme="minorHAnsi"/>
        </w:rPr>
        <w:t xml:space="preserve">Kontakt: </w:t>
      </w:r>
      <w:hyperlink r:id="rId131" w:history="1">
        <w:r w:rsidR="00501884" w:rsidRPr="00DF7B38">
          <w:rPr>
            <w:rStyle w:val="Hyperlink"/>
            <w:rFonts w:cstheme="minorHAnsi"/>
          </w:rPr>
          <w:t>Stromkennzeichnung@e-control.at</w:t>
        </w:r>
      </w:hyperlink>
    </w:p>
    <w:tbl>
      <w:tblPr>
        <w:tblW w:w="0" w:type="auto"/>
        <w:tblInd w:w="55" w:type="dxa"/>
        <w:tblCellMar>
          <w:left w:w="70" w:type="dxa"/>
          <w:right w:w="70" w:type="dxa"/>
        </w:tblCellMar>
        <w:tblLook w:val="04A0" w:firstRow="1" w:lastRow="0" w:firstColumn="1" w:lastColumn="0" w:noHBand="0" w:noVBand="1"/>
      </w:tblPr>
      <w:tblGrid>
        <w:gridCol w:w="9361"/>
        <w:gridCol w:w="146"/>
      </w:tblGrid>
      <w:tr w:rsidR="0000091E" w:rsidRPr="00262B95" w14:paraId="30C60650" w14:textId="77777777" w:rsidTr="00ED275C">
        <w:trPr>
          <w:trHeight w:val="255"/>
        </w:trPr>
        <w:tc>
          <w:tcPr>
            <w:tcW w:w="0" w:type="auto"/>
            <w:tcBorders>
              <w:top w:val="nil"/>
              <w:left w:val="nil"/>
              <w:bottom w:val="nil"/>
              <w:right w:val="nil"/>
            </w:tcBorders>
            <w:shd w:val="clear" w:color="000000" w:fill="95B3D7"/>
            <w:noWrap/>
            <w:vAlign w:val="center"/>
            <w:hideMark/>
          </w:tcPr>
          <w:p w14:paraId="65121879" w14:textId="77777777" w:rsidR="0000091E" w:rsidRPr="00262B95" w:rsidRDefault="00C03CDD" w:rsidP="00E808A8">
            <w:pPr>
              <w:pStyle w:val="Listenabsatz"/>
              <w:spacing w:line="276" w:lineRule="auto"/>
              <w:ind w:left="0"/>
              <w:rPr>
                <w:b/>
              </w:rPr>
            </w:pPr>
            <w:r>
              <w:rPr>
                <w:b/>
              </w:rPr>
              <w:t>Checkliste –</w:t>
            </w:r>
            <w:r w:rsidR="0000091E" w:rsidRPr="00262B95">
              <w:rPr>
                <w:b/>
              </w:rPr>
              <w:t xml:space="preserve"> Stromkennzeichnung</w:t>
            </w:r>
          </w:p>
        </w:tc>
        <w:tc>
          <w:tcPr>
            <w:tcW w:w="0" w:type="auto"/>
            <w:tcBorders>
              <w:top w:val="nil"/>
              <w:left w:val="nil"/>
              <w:bottom w:val="nil"/>
              <w:right w:val="nil"/>
            </w:tcBorders>
            <w:shd w:val="clear" w:color="000000" w:fill="95B3D7"/>
            <w:noWrap/>
            <w:vAlign w:val="center"/>
          </w:tcPr>
          <w:p w14:paraId="0241C8EE" w14:textId="77777777" w:rsidR="0000091E" w:rsidRPr="00262B95" w:rsidRDefault="0000091E" w:rsidP="00E808A8">
            <w:pPr>
              <w:pStyle w:val="Listenabsatz"/>
              <w:spacing w:line="276" w:lineRule="auto"/>
              <w:rPr>
                <w:b/>
              </w:rPr>
            </w:pPr>
          </w:p>
        </w:tc>
      </w:tr>
      <w:tr w:rsidR="0000091E" w:rsidRPr="00977010" w14:paraId="376EE299" w14:textId="77777777" w:rsidTr="00E808A8">
        <w:trPr>
          <w:trHeight w:val="510"/>
        </w:trPr>
        <w:tc>
          <w:tcPr>
            <w:tcW w:w="0" w:type="auto"/>
            <w:tcBorders>
              <w:top w:val="single" w:sz="4" w:space="0" w:color="FFFFFF"/>
              <w:left w:val="single" w:sz="4" w:space="0" w:color="FFFFFF"/>
              <w:bottom w:val="single" w:sz="4" w:space="0" w:color="FFFFFF"/>
              <w:right w:val="single" w:sz="4" w:space="0" w:color="FFFFFF"/>
            </w:tcBorders>
            <w:shd w:val="clear" w:color="000000" w:fill="DAE6F2"/>
            <w:vAlign w:val="center"/>
            <w:hideMark/>
          </w:tcPr>
          <w:p w14:paraId="37ECF937" w14:textId="77777777" w:rsidR="0000091E" w:rsidRPr="00977010" w:rsidRDefault="0000091E" w:rsidP="007117BE">
            <w:pPr>
              <w:pStyle w:val="Listenabsatz"/>
              <w:spacing w:line="276" w:lineRule="auto"/>
            </w:pPr>
            <w:r w:rsidRPr="00977010">
              <w:rPr>
                <w:rFonts w:eastAsia="Symbol" w:cs="Symbol"/>
              </w:rPr>
              <w:t xml:space="preserve">Vorhandene </w:t>
            </w:r>
            <w:r w:rsidR="007117BE">
              <w:rPr>
                <w:rFonts w:eastAsia="Symbol" w:cs="Symbol"/>
              </w:rPr>
              <w:t>N</w:t>
            </w:r>
            <w:r w:rsidR="007117BE" w:rsidRPr="00977010">
              <w:rPr>
                <w:rFonts w:eastAsia="Symbol" w:cs="Symbol"/>
              </w:rPr>
              <w:t xml:space="preserve">achweise </w:t>
            </w:r>
            <w:r w:rsidRPr="00977010">
              <w:rPr>
                <w:rFonts w:eastAsia="Symbol" w:cs="Symbol"/>
              </w:rPr>
              <w:t>in Stromnachweisdatenbank entwertet.</w:t>
            </w:r>
          </w:p>
        </w:tc>
        <w:tc>
          <w:tcPr>
            <w:tcW w:w="0" w:type="auto"/>
            <w:tcBorders>
              <w:top w:val="single" w:sz="4" w:space="0" w:color="FFFFFF"/>
              <w:left w:val="nil"/>
              <w:bottom w:val="single" w:sz="4" w:space="0" w:color="FFFFFF"/>
              <w:right w:val="single" w:sz="4" w:space="0" w:color="FFFFFF"/>
            </w:tcBorders>
            <w:shd w:val="clear" w:color="000000" w:fill="DAE6F2"/>
            <w:noWrap/>
            <w:vAlign w:val="center"/>
          </w:tcPr>
          <w:p w14:paraId="19218EC5" w14:textId="77777777" w:rsidR="0000091E" w:rsidRPr="00977010" w:rsidRDefault="0000091E" w:rsidP="00E808A8">
            <w:pPr>
              <w:pStyle w:val="Listenabsatz"/>
              <w:spacing w:line="276" w:lineRule="auto"/>
            </w:pPr>
          </w:p>
        </w:tc>
      </w:tr>
      <w:tr w:rsidR="0000091E" w:rsidRPr="00977010" w14:paraId="03F6A3BE" w14:textId="77777777" w:rsidTr="00E808A8">
        <w:trPr>
          <w:trHeight w:val="255"/>
        </w:trPr>
        <w:tc>
          <w:tcPr>
            <w:tcW w:w="0" w:type="auto"/>
            <w:tcBorders>
              <w:top w:val="nil"/>
              <w:left w:val="single" w:sz="4" w:space="0" w:color="FFFFFF"/>
              <w:bottom w:val="single" w:sz="4" w:space="0" w:color="FFFFFF"/>
              <w:right w:val="single" w:sz="4" w:space="0" w:color="FFFFFF"/>
            </w:tcBorders>
            <w:shd w:val="clear" w:color="000000" w:fill="BDD1E7"/>
            <w:vAlign w:val="center"/>
            <w:hideMark/>
          </w:tcPr>
          <w:p w14:paraId="33F7E8EA" w14:textId="77777777" w:rsidR="0000091E" w:rsidRPr="00977010" w:rsidRDefault="0000091E" w:rsidP="00E808A8">
            <w:pPr>
              <w:pStyle w:val="Listenabsatz"/>
              <w:spacing w:line="276" w:lineRule="auto"/>
            </w:pPr>
            <w:r w:rsidRPr="00977010">
              <w:rPr>
                <w:rFonts w:eastAsia="Symbol" w:cs="Symbol"/>
              </w:rPr>
              <w:t>Stromkennzeichnungsbericht in Datenbank angelegt.</w:t>
            </w:r>
          </w:p>
        </w:tc>
        <w:tc>
          <w:tcPr>
            <w:tcW w:w="0" w:type="auto"/>
            <w:tcBorders>
              <w:top w:val="nil"/>
              <w:left w:val="nil"/>
              <w:bottom w:val="single" w:sz="4" w:space="0" w:color="FFFFFF"/>
              <w:right w:val="single" w:sz="4" w:space="0" w:color="FFFFFF"/>
            </w:tcBorders>
            <w:shd w:val="clear" w:color="000000" w:fill="BDD1E7"/>
            <w:noWrap/>
            <w:vAlign w:val="center"/>
          </w:tcPr>
          <w:p w14:paraId="48AF30F9" w14:textId="77777777" w:rsidR="0000091E" w:rsidRPr="00977010" w:rsidRDefault="0000091E" w:rsidP="00E808A8">
            <w:pPr>
              <w:pStyle w:val="Listenabsatz"/>
              <w:spacing w:line="276" w:lineRule="auto"/>
            </w:pPr>
          </w:p>
        </w:tc>
      </w:tr>
      <w:tr w:rsidR="0000091E" w:rsidRPr="00977010" w14:paraId="6EBD18A1" w14:textId="77777777" w:rsidTr="00E808A8">
        <w:trPr>
          <w:trHeight w:val="510"/>
        </w:trPr>
        <w:tc>
          <w:tcPr>
            <w:tcW w:w="0" w:type="auto"/>
            <w:tcBorders>
              <w:top w:val="nil"/>
              <w:left w:val="single" w:sz="4" w:space="0" w:color="FFFFFF"/>
              <w:bottom w:val="single" w:sz="4" w:space="0" w:color="FFFFFF"/>
              <w:right w:val="single" w:sz="4" w:space="0" w:color="FFFFFF"/>
            </w:tcBorders>
            <w:shd w:val="clear" w:color="000000" w:fill="DAE6F2"/>
            <w:vAlign w:val="center"/>
            <w:hideMark/>
          </w:tcPr>
          <w:p w14:paraId="27F456FD" w14:textId="77777777" w:rsidR="0000091E" w:rsidRPr="00977010" w:rsidRDefault="0000091E" w:rsidP="00E808A8">
            <w:pPr>
              <w:pStyle w:val="Listenabsatz"/>
              <w:spacing w:line="276" w:lineRule="auto"/>
            </w:pPr>
            <w:r w:rsidRPr="00977010">
              <w:rPr>
                <w:rFonts w:eastAsia="Symbol" w:cs="Symbol"/>
              </w:rPr>
              <w:t>Stromkennzeichnung an Hand der Daten aus der Stromnachweisdatenbank erstellt.</w:t>
            </w:r>
          </w:p>
        </w:tc>
        <w:tc>
          <w:tcPr>
            <w:tcW w:w="0" w:type="auto"/>
            <w:tcBorders>
              <w:top w:val="nil"/>
              <w:left w:val="nil"/>
              <w:bottom w:val="single" w:sz="4" w:space="0" w:color="FFFFFF"/>
              <w:right w:val="single" w:sz="4" w:space="0" w:color="FFFFFF"/>
            </w:tcBorders>
            <w:shd w:val="clear" w:color="000000" w:fill="DAE6F2"/>
            <w:noWrap/>
            <w:vAlign w:val="center"/>
          </w:tcPr>
          <w:p w14:paraId="63B9ECC4" w14:textId="77777777" w:rsidR="0000091E" w:rsidRPr="00977010" w:rsidRDefault="0000091E" w:rsidP="00E808A8">
            <w:pPr>
              <w:pStyle w:val="Listenabsatz"/>
              <w:spacing w:line="276" w:lineRule="auto"/>
            </w:pPr>
          </w:p>
        </w:tc>
      </w:tr>
      <w:tr w:rsidR="0000091E" w:rsidRPr="00977010" w14:paraId="39FB4D00" w14:textId="77777777" w:rsidTr="00E808A8">
        <w:trPr>
          <w:trHeight w:val="765"/>
        </w:trPr>
        <w:tc>
          <w:tcPr>
            <w:tcW w:w="0" w:type="auto"/>
            <w:tcBorders>
              <w:top w:val="nil"/>
              <w:left w:val="single" w:sz="4" w:space="0" w:color="FFFFFF"/>
              <w:bottom w:val="single" w:sz="4" w:space="0" w:color="FFFFFF"/>
              <w:right w:val="single" w:sz="4" w:space="0" w:color="FFFFFF"/>
            </w:tcBorders>
            <w:shd w:val="clear" w:color="000000" w:fill="BDD1E7"/>
            <w:vAlign w:val="center"/>
            <w:hideMark/>
          </w:tcPr>
          <w:p w14:paraId="6766DB3C" w14:textId="77777777" w:rsidR="0000091E" w:rsidRPr="00977010" w:rsidRDefault="0000091E" w:rsidP="00E808A8">
            <w:pPr>
              <w:pStyle w:val="Listenabsatz"/>
              <w:spacing w:line="276" w:lineRule="auto"/>
            </w:pPr>
            <w:r w:rsidRPr="00977010">
              <w:rPr>
                <w:rFonts w:eastAsia="Symbol" w:cs="Symbol"/>
              </w:rPr>
              <w:t xml:space="preserve">Musterrechnung und Werbematerial, mit der erstellten Stromkennzeichnung, sowie sonstige Dokumente in der Datenbank hochgeladen. </w:t>
            </w:r>
          </w:p>
        </w:tc>
        <w:tc>
          <w:tcPr>
            <w:tcW w:w="0" w:type="auto"/>
            <w:tcBorders>
              <w:top w:val="nil"/>
              <w:left w:val="nil"/>
              <w:bottom w:val="single" w:sz="4" w:space="0" w:color="FFFFFF"/>
              <w:right w:val="single" w:sz="4" w:space="0" w:color="FFFFFF"/>
            </w:tcBorders>
            <w:shd w:val="clear" w:color="000000" w:fill="BDD1E7"/>
            <w:noWrap/>
            <w:vAlign w:val="center"/>
          </w:tcPr>
          <w:p w14:paraId="6FF58BA6" w14:textId="77777777" w:rsidR="0000091E" w:rsidRPr="00977010" w:rsidRDefault="0000091E" w:rsidP="00E808A8">
            <w:pPr>
              <w:pStyle w:val="Listenabsatz"/>
              <w:spacing w:line="276" w:lineRule="auto"/>
            </w:pPr>
          </w:p>
        </w:tc>
      </w:tr>
      <w:tr w:rsidR="0000091E" w:rsidRPr="00977010" w14:paraId="7C384734" w14:textId="77777777" w:rsidTr="00E808A8">
        <w:trPr>
          <w:trHeight w:val="255"/>
        </w:trPr>
        <w:tc>
          <w:tcPr>
            <w:tcW w:w="0" w:type="auto"/>
            <w:tcBorders>
              <w:top w:val="nil"/>
              <w:left w:val="single" w:sz="4" w:space="0" w:color="FFFFFF"/>
              <w:bottom w:val="single" w:sz="4" w:space="0" w:color="FFFFFF"/>
              <w:right w:val="single" w:sz="4" w:space="0" w:color="FFFFFF"/>
            </w:tcBorders>
            <w:shd w:val="clear" w:color="000000" w:fill="DAE6F2"/>
            <w:vAlign w:val="center"/>
            <w:hideMark/>
          </w:tcPr>
          <w:p w14:paraId="78C5CFD7" w14:textId="77777777" w:rsidR="0000091E" w:rsidRPr="00977010" w:rsidRDefault="0000091E" w:rsidP="00E808A8">
            <w:pPr>
              <w:pStyle w:val="Listenabsatz"/>
              <w:spacing w:line="276" w:lineRule="auto"/>
            </w:pPr>
            <w:r w:rsidRPr="00977010">
              <w:t xml:space="preserve">Stromkennzeichnungsbericht zur Begutachtung frei gegeben. </w:t>
            </w:r>
          </w:p>
        </w:tc>
        <w:tc>
          <w:tcPr>
            <w:tcW w:w="0" w:type="auto"/>
            <w:tcBorders>
              <w:top w:val="nil"/>
              <w:left w:val="nil"/>
              <w:bottom w:val="single" w:sz="4" w:space="0" w:color="FFFFFF"/>
              <w:right w:val="single" w:sz="4" w:space="0" w:color="FFFFFF"/>
            </w:tcBorders>
            <w:shd w:val="clear" w:color="000000" w:fill="DAE6F2"/>
            <w:noWrap/>
            <w:vAlign w:val="center"/>
          </w:tcPr>
          <w:p w14:paraId="57C358F3" w14:textId="77777777" w:rsidR="0000091E" w:rsidRPr="00977010" w:rsidRDefault="0000091E" w:rsidP="00E808A8">
            <w:pPr>
              <w:pStyle w:val="Listenabsatz"/>
              <w:spacing w:line="276" w:lineRule="auto"/>
            </w:pPr>
          </w:p>
        </w:tc>
      </w:tr>
    </w:tbl>
    <w:p w14:paraId="1610896F" w14:textId="77777777" w:rsidR="0000091E" w:rsidRPr="00736F66" w:rsidRDefault="0000091E" w:rsidP="0000091E">
      <w:pPr>
        <w:rPr>
          <w:rFonts w:cstheme="minorHAnsi"/>
          <w:b/>
        </w:rPr>
      </w:pPr>
    </w:p>
    <w:p w14:paraId="13751E66" w14:textId="77777777" w:rsidR="0000091E" w:rsidRDefault="0000091E" w:rsidP="00744141">
      <w:pPr>
        <w:pStyle w:val="berschrift2"/>
        <w:keepNext/>
        <w:keepLines/>
        <w:widowControl/>
        <w:numPr>
          <w:ilvl w:val="0"/>
          <w:numId w:val="24"/>
        </w:numPr>
        <w:overflowPunct/>
        <w:autoSpaceDE/>
        <w:autoSpaceDN/>
        <w:adjustRightInd/>
        <w:spacing w:before="200" w:after="0" w:line="276" w:lineRule="auto"/>
        <w:jc w:val="left"/>
        <w:textAlignment w:val="auto"/>
      </w:pPr>
      <w:bookmarkStart w:id="96" w:name="_Toc379201270"/>
      <w:bookmarkStart w:id="97" w:name="_Toc31376459"/>
      <w:r>
        <w:t>Steuern und Abgaben</w:t>
      </w:r>
      <w:bookmarkEnd w:id="96"/>
      <w:bookmarkEnd w:id="97"/>
    </w:p>
    <w:p w14:paraId="0F1BF5F1" w14:textId="77777777" w:rsidR="00C025BD" w:rsidRDefault="00C025BD" w:rsidP="00415027">
      <w:pPr>
        <w:keepNext/>
        <w:rPr>
          <w:b/>
        </w:rPr>
      </w:pPr>
    </w:p>
    <w:p w14:paraId="3EB6CB95" w14:textId="77777777" w:rsidR="0000091E" w:rsidRPr="00FB2F80" w:rsidRDefault="00D1140B" w:rsidP="00415027">
      <w:pPr>
        <w:keepNext/>
        <w:rPr>
          <w:b/>
        </w:rPr>
      </w:pPr>
      <w:r>
        <w:rPr>
          <w:b/>
        </w:rPr>
        <w:t>Rechtliche Grundlagen</w:t>
      </w:r>
    </w:p>
    <w:p w14:paraId="05ACF357" w14:textId="77777777" w:rsidR="0000091E" w:rsidRDefault="0000091E" w:rsidP="0000091E">
      <w:pPr>
        <w:rPr>
          <w:rStyle w:val="Hyperlink"/>
        </w:rPr>
      </w:pPr>
      <w:r>
        <w:t xml:space="preserve">Elektrizitätsabgabegesetz: </w:t>
      </w:r>
      <w:hyperlink r:id="rId132" w:history="1">
        <w:r w:rsidRPr="00C30FE1">
          <w:rPr>
            <w:rStyle w:val="Hyperlink"/>
          </w:rPr>
          <w:t>http://www.ris.bka.gv.at/GeltendeFassung.wxe?Abfrage=Bundesnormen&amp;Gesetzesnummer=10005027</w:t>
        </w:r>
      </w:hyperlink>
    </w:p>
    <w:p w14:paraId="57000CC6" w14:textId="32E1CF54" w:rsidR="003C76D5" w:rsidRDefault="003C76D5" w:rsidP="0000091E">
      <w:pPr>
        <w:rPr>
          <w:rStyle w:val="Hyperlink"/>
          <w:color w:val="auto"/>
          <w:u w:val="none"/>
        </w:rPr>
      </w:pPr>
      <w:r w:rsidRPr="003C76D5">
        <w:rPr>
          <w:rStyle w:val="Hyperlink"/>
          <w:color w:val="auto"/>
          <w:u w:val="none"/>
        </w:rPr>
        <w:t xml:space="preserve">Finanzausgleichsgesetz </w:t>
      </w:r>
      <w:r w:rsidR="009E38F2" w:rsidRPr="003C76D5">
        <w:rPr>
          <w:rStyle w:val="Hyperlink"/>
          <w:color w:val="auto"/>
          <w:u w:val="none"/>
        </w:rPr>
        <w:t>20</w:t>
      </w:r>
      <w:r w:rsidR="009E38F2">
        <w:rPr>
          <w:rStyle w:val="Hyperlink"/>
          <w:color w:val="auto"/>
          <w:u w:val="none"/>
        </w:rPr>
        <w:t>17</w:t>
      </w:r>
      <w:r w:rsidR="009E38F2" w:rsidRPr="003C76D5">
        <w:rPr>
          <w:rStyle w:val="Hyperlink"/>
          <w:color w:val="auto"/>
          <w:u w:val="none"/>
        </w:rPr>
        <w:t xml:space="preserve"> </w:t>
      </w:r>
      <w:r w:rsidRPr="003C76D5">
        <w:rPr>
          <w:rStyle w:val="Hyperlink"/>
          <w:color w:val="auto"/>
          <w:u w:val="none"/>
        </w:rPr>
        <w:t xml:space="preserve">(FAG </w:t>
      </w:r>
      <w:r w:rsidR="009E38F2" w:rsidRPr="003C76D5">
        <w:rPr>
          <w:rStyle w:val="Hyperlink"/>
          <w:color w:val="auto"/>
          <w:u w:val="none"/>
        </w:rPr>
        <w:t>20</w:t>
      </w:r>
      <w:r w:rsidR="009E38F2">
        <w:rPr>
          <w:rStyle w:val="Hyperlink"/>
          <w:color w:val="auto"/>
          <w:u w:val="none"/>
        </w:rPr>
        <w:t>17</w:t>
      </w:r>
      <w:r w:rsidRPr="003C76D5">
        <w:rPr>
          <w:rStyle w:val="Hyperlink"/>
          <w:color w:val="auto"/>
          <w:u w:val="none"/>
        </w:rPr>
        <w:t>)</w:t>
      </w:r>
      <w:r w:rsidR="003523A4">
        <w:rPr>
          <w:rStyle w:val="Hyperlink"/>
          <w:color w:val="auto"/>
          <w:u w:val="none"/>
        </w:rPr>
        <w:t>:</w:t>
      </w:r>
    </w:p>
    <w:p w14:paraId="146E3DAF" w14:textId="5513A059" w:rsidR="0000091E" w:rsidRPr="003C76D5" w:rsidRDefault="009E38F2" w:rsidP="0000091E">
      <w:pPr>
        <w:rPr>
          <w:rStyle w:val="Hyperlink"/>
          <w:color w:val="auto"/>
          <w:u w:val="none"/>
        </w:rPr>
      </w:pPr>
      <w:r w:rsidRPr="009E38F2">
        <w:t>https://www.ris.bka.gv.at/GeltendeFassung.wxe?Abfrage=Bundesnormen&amp;Gesetzesnummer=20009764&amp;FassungVom=2021-12-31</w:t>
      </w:r>
      <w:r w:rsidRPr="009E38F2" w:rsidDel="009E38F2">
        <w:t xml:space="preserve"> </w:t>
      </w:r>
      <w:r w:rsidR="0000091E" w:rsidRPr="003C76D5">
        <w:rPr>
          <w:rStyle w:val="Hyperlink"/>
          <w:color w:val="auto"/>
          <w:u w:val="none"/>
        </w:rPr>
        <w:t>Gebrauchsabgabe</w:t>
      </w:r>
      <w:r w:rsidR="00ED4130" w:rsidRPr="003C76D5">
        <w:rPr>
          <w:rStyle w:val="Hyperlink"/>
          <w:color w:val="auto"/>
          <w:u w:val="none"/>
        </w:rPr>
        <w:t xml:space="preserve"> Link zur Landesgesetzgebung</w:t>
      </w:r>
      <w:r w:rsidR="0000091E" w:rsidRPr="003C76D5">
        <w:rPr>
          <w:rStyle w:val="Hyperlink"/>
          <w:color w:val="auto"/>
          <w:u w:val="none"/>
        </w:rPr>
        <w:t xml:space="preserve">: </w:t>
      </w:r>
    </w:p>
    <w:p w14:paraId="1C78EC37" w14:textId="6CFB64B3" w:rsidR="003523A4" w:rsidRDefault="00F26E1C" w:rsidP="0000091E">
      <w:pPr>
        <w:rPr>
          <w:rStyle w:val="Hyperlink"/>
          <w:color w:val="auto"/>
          <w:u w:val="none"/>
        </w:rPr>
      </w:pPr>
      <w:hyperlink r:id="rId133" w:history="1">
        <w:r w:rsidR="0000091E" w:rsidRPr="00881A14">
          <w:rPr>
            <w:rStyle w:val="Hyperlink"/>
          </w:rPr>
          <w:t>http://www.e-control.at/de/marktteilnehmer/strom/strommarkt/preise/steuern-und-abgaben/gebrauchsabgabe</w:t>
        </w:r>
      </w:hyperlink>
    </w:p>
    <w:p w14:paraId="56E229D9" w14:textId="5D513028" w:rsidR="003523A4" w:rsidRDefault="003C76D5" w:rsidP="0000091E">
      <w:pPr>
        <w:rPr>
          <w:rStyle w:val="Hyperlink"/>
          <w:color w:val="auto"/>
          <w:u w:val="none"/>
        </w:rPr>
      </w:pPr>
      <w:r w:rsidRPr="00225206">
        <w:rPr>
          <w:rStyle w:val="Hyperlink"/>
          <w:color w:val="auto"/>
          <w:u w:val="none"/>
        </w:rPr>
        <w:t>Umsatzsteuergesetzgebung</w:t>
      </w:r>
      <w:r w:rsidR="003523A4">
        <w:rPr>
          <w:rStyle w:val="Hyperlink"/>
          <w:color w:val="auto"/>
          <w:u w:val="none"/>
        </w:rPr>
        <w:t>:</w:t>
      </w:r>
    </w:p>
    <w:p w14:paraId="2EFDADA6" w14:textId="2324D6BC" w:rsidR="00C025BD" w:rsidRDefault="00F26E1C" w:rsidP="0000091E">
      <w:pPr>
        <w:rPr>
          <w:rStyle w:val="Hyperlink"/>
          <w:color w:val="auto"/>
          <w:u w:val="none"/>
        </w:rPr>
      </w:pPr>
      <w:hyperlink r:id="rId134" w:history="1">
        <w:r w:rsidR="003C76D5" w:rsidRPr="00225206">
          <w:rPr>
            <w:rStyle w:val="Hyperlink"/>
          </w:rPr>
          <w:t>Linksammlung</w:t>
        </w:r>
      </w:hyperlink>
      <w:r w:rsidR="003C76D5">
        <w:rPr>
          <w:rStyle w:val="Hyperlink"/>
          <w:color w:val="auto"/>
          <w:u w:val="none"/>
        </w:rPr>
        <w:t xml:space="preserve"> zu </w:t>
      </w:r>
      <w:r w:rsidR="003C76D5" w:rsidRPr="00C025BD">
        <w:rPr>
          <w:rStyle w:val="Hyperlink"/>
          <w:color w:val="auto"/>
          <w:u w:val="none"/>
        </w:rPr>
        <w:t>Verordnungen, Erlässe, Protokolle und Informatio</w:t>
      </w:r>
      <w:r w:rsidR="003C76D5">
        <w:rPr>
          <w:rStyle w:val="Hyperlink"/>
          <w:color w:val="auto"/>
          <w:u w:val="none"/>
        </w:rPr>
        <w:t>nen betreffend die Umsatzsteuer</w:t>
      </w:r>
    </w:p>
    <w:p w14:paraId="6FFDDE5F" w14:textId="3B47EF2B" w:rsidR="009E38F2" w:rsidRDefault="009E38F2" w:rsidP="00744141">
      <w:pPr>
        <w:keepNext/>
        <w:rPr>
          <w:rStyle w:val="Hyperlink"/>
          <w:color w:val="auto"/>
          <w:u w:val="none"/>
        </w:rPr>
      </w:pPr>
      <w:r w:rsidRPr="00D81F14">
        <w:rPr>
          <w:rStyle w:val="Hyperlink"/>
          <w:color w:val="auto"/>
          <w:u w:val="none"/>
        </w:rPr>
        <w:t>Ök</w:t>
      </w:r>
      <w:r>
        <w:rPr>
          <w:rStyle w:val="Hyperlink"/>
          <w:color w:val="auto"/>
          <w:u w:val="none"/>
        </w:rPr>
        <w:t>ostromförderbeitragsverordnung</w:t>
      </w:r>
      <w:r w:rsidR="003523A4">
        <w:rPr>
          <w:rStyle w:val="Hyperlink"/>
          <w:color w:val="auto"/>
          <w:u w:val="none"/>
        </w:rPr>
        <w:t>:</w:t>
      </w:r>
    </w:p>
    <w:p w14:paraId="4731A854" w14:textId="1A7ED68B" w:rsidR="009E38F2" w:rsidRDefault="00F26E1C" w:rsidP="00744141">
      <w:pPr>
        <w:keepNext/>
        <w:rPr>
          <w:rStyle w:val="Hyperlink"/>
          <w:color w:val="auto"/>
          <w:u w:val="none"/>
        </w:rPr>
      </w:pPr>
      <w:hyperlink r:id="rId135" w:history="1">
        <w:r w:rsidR="00E27C59" w:rsidRPr="00BC0270">
          <w:rPr>
            <w:rStyle w:val="Hyperlink"/>
          </w:rPr>
          <w:t>https://www.ris.bka.gv.at/GeltendeFassung.wxe?Abfrage=Bundesnormen&amp;Gesetzesnummer=20011432</w:t>
        </w:r>
      </w:hyperlink>
      <w:r w:rsidR="00E27C59">
        <w:rPr>
          <w:rStyle w:val="Hyperlink"/>
          <w:color w:val="auto"/>
          <w:u w:val="none"/>
        </w:rPr>
        <w:t xml:space="preserve"> </w:t>
      </w:r>
    </w:p>
    <w:p w14:paraId="6BBFBB48" w14:textId="77777777" w:rsidR="003523A4" w:rsidRDefault="003523A4" w:rsidP="0000091E">
      <w:pPr>
        <w:rPr>
          <w:rStyle w:val="Hyperlink"/>
          <w:color w:val="auto"/>
          <w:u w:val="none"/>
        </w:rPr>
      </w:pPr>
    </w:p>
    <w:p w14:paraId="60B2731F" w14:textId="77777777" w:rsidR="009E38F2" w:rsidRDefault="009E38F2" w:rsidP="0000091E">
      <w:pPr>
        <w:rPr>
          <w:rStyle w:val="Hyperlink"/>
          <w:color w:val="auto"/>
          <w:u w:val="none"/>
        </w:rPr>
      </w:pPr>
    </w:p>
    <w:p w14:paraId="00989606" w14:textId="520B734F" w:rsidR="009E38F2" w:rsidRDefault="009E38F2" w:rsidP="00744141">
      <w:pPr>
        <w:keepNext/>
        <w:rPr>
          <w:rStyle w:val="Hyperlink"/>
          <w:color w:val="auto"/>
          <w:u w:val="none"/>
        </w:rPr>
      </w:pPr>
      <w:r w:rsidRPr="00D81F14">
        <w:rPr>
          <w:rStyle w:val="Hyperlink"/>
          <w:color w:val="auto"/>
          <w:u w:val="none"/>
        </w:rPr>
        <w:lastRenderedPageBreak/>
        <w:t>Ökostrompauschale</w:t>
      </w:r>
      <w:r w:rsidR="00E27C59">
        <w:rPr>
          <w:rStyle w:val="Hyperlink"/>
          <w:color w:val="auto"/>
          <w:u w:val="none"/>
        </w:rPr>
        <w:t>-V</w:t>
      </w:r>
      <w:r w:rsidRPr="00D81F14">
        <w:rPr>
          <w:rStyle w:val="Hyperlink"/>
          <w:color w:val="auto"/>
          <w:u w:val="none"/>
        </w:rPr>
        <w:t>erordnung</w:t>
      </w:r>
      <w:r w:rsidR="003523A4">
        <w:rPr>
          <w:rStyle w:val="Hyperlink"/>
          <w:color w:val="auto"/>
          <w:u w:val="none"/>
        </w:rPr>
        <w:t>:</w:t>
      </w:r>
    </w:p>
    <w:p w14:paraId="005DCB3C" w14:textId="69AF56D3" w:rsidR="00C062A6" w:rsidRDefault="00F26E1C" w:rsidP="00744141">
      <w:pPr>
        <w:keepNext/>
      </w:pPr>
      <w:hyperlink r:id="rId136" w:history="1">
        <w:r w:rsidR="00E27C59">
          <w:rPr>
            <w:rStyle w:val="Hyperlink"/>
          </w:rPr>
          <w:t>https://www.ris.bka.gv.at/GeltendeFassung.wxe?Abfrage=Bundesnormen&amp;Gesetzesnummer=20011430</w:t>
        </w:r>
      </w:hyperlink>
    </w:p>
    <w:p w14:paraId="0747090D" w14:textId="77777777" w:rsidR="00C062A6" w:rsidRDefault="00C062A6" w:rsidP="00744141">
      <w:pPr>
        <w:keepNext/>
        <w:rPr>
          <w:rStyle w:val="Hyperlink"/>
          <w:color w:val="auto"/>
          <w:u w:val="none"/>
        </w:rPr>
      </w:pPr>
    </w:p>
    <w:p w14:paraId="54FB7998" w14:textId="2F5AD3D6" w:rsidR="003C76D5" w:rsidRDefault="005433DA" w:rsidP="007C6EFD">
      <w:pPr>
        <w:keepNext/>
      </w:pPr>
      <w:r w:rsidRPr="005433DA">
        <w:t>Grundsatzgesetz über die Förderung der Stromerzeugung aus Biomasse (Biomasseförderung-Grundsatzgesetz)</w:t>
      </w:r>
      <w:r>
        <w:t>:</w:t>
      </w:r>
    </w:p>
    <w:p w14:paraId="4A7D864B" w14:textId="034D4F78" w:rsidR="005433DA" w:rsidRDefault="00F26E1C" w:rsidP="00F87104">
      <w:hyperlink r:id="rId137" w:history="1">
        <w:r w:rsidR="005433DA">
          <w:rPr>
            <w:rStyle w:val="Hyperlink"/>
          </w:rPr>
          <w:t>https://www.ris.bka.gv.at/GeltendeFassung.wxe?Abfrage=Bundesnormen&amp;Gesetzesnummer=20010653</w:t>
        </w:r>
      </w:hyperlink>
    </w:p>
    <w:p w14:paraId="15983761" w14:textId="77777777" w:rsidR="005433DA" w:rsidRDefault="005433DA" w:rsidP="0000091E">
      <w:pPr>
        <w:rPr>
          <w:b/>
        </w:rPr>
      </w:pPr>
    </w:p>
    <w:p w14:paraId="4E749036" w14:textId="77777777" w:rsidR="0000091E" w:rsidRPr="00351EE4" w:rsidRDefault="0000091E" w:rsidP="0000091E">
      <w:pPr>
        <w:rPr>
          <w:b/>
        </w:rPr>
      </w:pPr>
      <w:r w:rsidRPr="00351EE4">
        <w:rPr>
          <w:b/>
        </w:rPr>
        <w:t>Kurzbeschreibung</w:t>
      </w:r>
    </w:p>
    <w:p w14:paraId="68CD5935" w14:textId="1487F66C" w:rsidR="0000091E" w:rsidRDefault="0000091E" w:rsidP="0000091E">
      <w:r>
        <w:t xml:space="preserve">Steuern und Abgaben sind neben den Energiekosten und Systemnutzungsentgelten die dritte Komponente des gesamten Strompreises. Diese umfasst die </w:t>
      </w:r>
      <w:r w:rsidR="000F5441">
        <w:t>Elektrizitätsabgabe</w:t>
      </w:r>
      <w:r>
        <w:t>, die Gebrauchsabgabe (in manchen Städten und Gemeinden</w:t>
      </w:r>
      <w:r w:rsidR="001F4CE1">
        <w:t>),</w:t>
      </w:r>
      <w:r w:rsidR="005433DA">
        <w:t xml:space="preserve"> den </w:t>
      </w:r>
      <w:bookmarkStart w:id="98" w:name="_Hlk26451496"/>
      <w:r w:rsidR="005433DA" w:rsidRPr="00F87104">
        <w:t>Biomasse-Förderbeitrag</w:t>
      </w:r>
      <w:bookmarkEnd w:id="98"/>
      <w:r w:rsidR="005433DA">
        <w:t xml:space="preserve"> (in manchen Bundesländern), die</w:t>
      </w:r>
      <w:r w:rsidR="001F4CE1">
        <w:t xml:space="preserve"> Ökostromabgaben (</w:t>
      </w:r>
      <w:r w:rsidR="001F4CE1" w:rsidRPr="00806DAA">
        <w:t>Ökostrompauschale und den Ökostromförderbeitrag</w:t>
      </w:r>
      <w:r w:rsidR="001F4CE1">
        <w:t>)</w:t>
      </w:r>
      <w:r w:rsidR="007E0D26">
        <w:t xml:space="preserve"> </w:t>
      </w:r>
      <w:r>
        <w:t xml:space="preserve">sowie die Umsatzsteuer. </w:t>
      </w:r>
    </w:p>
    <w:p w14:paraId="28E42E2E" w14:textId="77777777" w:rsidR="00C025BD" w:rsidRDefault="00C025BD" w:rsidP="0000091E"/>
    <w:p w14:paraId="54CC7214" w14:textId="6EA07A08" w:rsidR="0000091E" w:rsidRDefault="0000091E" w:rsidP="0000091E">
      <w:r w:rsidRPr="001E406F">
        <w:t xml:space="preserve">Die </w:t>
      </w:r>
      <w:r w:rsidR="000F5441" w:rsidRPr="00535AD3">
        <w:rPr>
          <w:b/>
        </w:rPr>
        <w:t>E</w:t>
      </w:r>
      <w:r w:rsidR="000F5441">
        <w:rPr>
          <w:b/>
        </w:rPr>
        <w:t>lektrizitäts</w:t>
      </w:r>
      <w:r w:rsidR="000F5441" w:rsidRPr="00535AD3">
        <w:rPr>
          <w:b/>
        </w:rPr>
        <w:t>abgabe</w:t>
      </w:r>
      <w:r w:rsidR="000F5441" w:rsidRPr="001E406F">
        <w:t xml:space="preserve"> </w:t>
      </w:r>
      <w:r w:rsidR="005433DA">
        <w:t xml:space="preserve">und je nach Bundesland auch der </w:t>
      </w:r>
      <w:r w:rsidR="005433DA" w:rsidRPr="00136CBE">
        <w:rPr>
          <w:b/>
        </w:rPr>
        <w:t>Biomasse-Förderbeitrag</w:t>
      </w:r>
      <w:r w:rsidR="005433DA">
        <w:t xml:space="preserve"> </w:t>
      </w:r>
      <w:r w:rsidRPr="001E406F">
        <w:t>w</w:t>
      </w:r>
      <w:r w:rsidR="005433DA">
        <w:t>e</w:t>
      </w:r>
      <w:r w:rsidRPr="001E406F">
        <w:t>rd</w:t>
      </w:r>
      <w:r w:rsidR="005433DA">
        <w:t>en</w:t>
      </w:r>
      <w:r w:rsidRPr="001E406F">
        <w:t xml:space="preserve"> vom Netzbetreiber in Rechnung gestellt und betr</w:t>
      </w:r>
      <w:r w:rsidR="005433DA">
        <w:t>e</w:t>
      </w:r>
      <w:r w:rsidRPr="001E406F">
        <w:t>ff</w:t>
      </w:r>
      <w:r w:rsidR="005433DA">
        <w:t>en</w:t>
      </w:r>
      <w:r w:rsidRPr="001E406F">
        <w:t xml:space="preserve"> den Lieferanten nur insofern, als er</w:t>
      </w:r>
      <w:r>
        <w:t xml:space="preserve"> im Fall ein</w:t>
      </w:r>
      <w:r w:rsidRPr="001E406F">
        <w:t xml:space="preserve">er </w:t>
      </w:r>
      <w:r>
        <w:t>integrierten</w:t>
      </w:r>
      <w:r w:rsidRPr="001E406F">
        <w:t xml:space="preserve"> Rechnungs</w:t>
      </w:r>
      <w:r>
        <w:t xml:space="preserve">legung </w:t>
      </w:r>
      <w:r w:rsidR="005433DA">
        <w:t xml:space="preserve">neben den Netzentgelten </w:t>
      </w:r>
      <w:r>
        <w:t xml:space="preserve">auch die </w:t>
      </w:r>
      <w:r w:rsidR="000F5441">
        <w:t xml:space="preserve">Elektrizitätsabgabe </w:t>
      </w:r>
      <w:r w:rsidR="005433DA">
        <w:t xml:space="preserve">und den Biomasse-Förderbeitrag </w:t>
      </w:r>
      <w:r>
        <w:t>an</w:t>
      </w:r>
      <w:r w:rsidRPr="001E406F">
        <w:t xml:space="preserve"> </w:t>
      </w:r>
      <w:r w:rsidR="001D16D4">
        <w:t xml:space="preserve">den Netzbetreiber </w:t>
      </w:r>
      <w:r w:rsidRPr="001E406F">
        <w:t>abzuliefern hat.</w:t>
      </w:r>
    </w:p>
    <w:p w14:paraId="42413B2A" w14:textId="77777777" w:rsidR="00C025BD" w:rsidRDefault="00C025BD" w:rsidP="0000091E"/>
    <w:p w14:paraId="5B878230" w14:textId="3D5F4ABA" w:rsidR="0000091E" w:rsidRDefault="0000091E" w:rsidP="0000091E">
      <w:r w:rsidRPr="00535AD3">
        <w:t xml:space="preserve">Die </w:t>
      </w:r>
      <w:r w:rsidRPr="00535AD3">
        <w:rPr>
          <w:b/>
        </w:rPr>
        <w:t>Gebrauchsabgabe</w:t>
      </w:r>
      <w:r w:rsidR="000F5441" w:rsidRPr="00744141">
        <w:t xml:space="preserve">, in manchen Gemeinden auch </w:t>
      </w:r>
      <w:r w:rsidRPr="00BD7717">
        <w:t xml:space="preserve">Benützungsabgabe </w:t>
      </w:r>
      <w:r w:rsidR="000F5441">
        <w:t xml:space="preserve">genannt, </w:t>
      </w:r>
      <w:r w:rsidRPr="00BD7717">
        <w:t>ist eine kommunale Abgabe, die für den Gebrauch von öffentlichem Gemeindegrund und des darüber befindlichen Luftraumes von einigen Gemeinden eingehoben wird</w:t>
      </w:r>
      <w:r w:rsidRPr="00E059C7">
        <w:t xml:space="preserve">. Die Gebrauchsabgabe </w:t>
      </w:r>
      <w:r>
        <w:t>kann</w:t>
      </w:r>
      <w:r w:rsidRPr="00E059C7">
        <w:t xml:space="preserve"> auf den Netznutzungsanteil und</w:t>
      </w:r>
      <w:r>
        <w:t>/oder den</w:t>
      </w:r>
      <w:r w:rsidRPr="00E059C7">
        <w:t xml:space="preserve"> Energieanteil ein</w:t>
      </w:r>
      <w:r>
        <w:t xml:space="preserve">gehoben werden, sodass der Abgabenschuldner der Netzbetreiber und/oder der </w:t>
      </w:r>
      <w:r w:rsidR="00393701">
        <w:t xml:space="preserve">Lieferant </w:t>
      </w:r>
      <w:r>
        <w:t xml:space="preserve">ist, je nachdem ob die Gebrauchsabgabe auf die Netzkosten oder Energiekosten oder auf beides eingehoben wird. </w:t>
      </w:r>
    </w:p>
    <w:p w14:paraId="789A53A9" w14:textId="77777777" w:rsidR="00C025BD" w:rsidRDefault="00C025BD" w:rsidP="0000091E"/>
    <w:p w14:paraId="53886DA2" w14:textId="1E9E5979" w:rsidR="0000091E" w:rsidRDefault="00A3497D" w:rsidP="0000091E">
      <w:r>
        <w:t>Gemäß</w:t>
      </w:r>
      <w:r w:rsidR="0000091E" w:rsidRPr="00BD7717">
        <w:t xml:space="preserve"> </w:t>
      </w:r>
      <w:hyperlink r:id="rId138" w:history="1">
        <w:r w:rsidR="0000091E" w:rsidRPr="003C76D5">
          <w:rPr>
            <w:rStyle w:val="Hyperlink"/>
          </w:rPr>
          <w:t xml:space="preserve">Finanzausgleichsgesetz </w:t>
        </w:r>
        <w:r w:rsidR="006E346A" w:rsidRPr="003C76D5">
          <w:rPr>
            <w:rStyle w:val="Hyperlink"/>
          </w:rPr>
          <w:t>20</w:t>
        </w:r>
        <w:r w:rsidR="006E346A">
          <w:rPr>
            <w:rStyle w:val="Hyperlink"/>
          </w:rPr>
          <w:t>17</w:t>
        </w:r>
        <w:r w:rsidR="006E346A" w:rsidRPr="003C76D5">
          <w:rPr>
            <w:rStyle w:val="Hyperlink"/>
          </w:rPr>
          <w:t xml:space="preserve"> </w:t>
        </w:r>
        <w:r w:rsidR="0000091E" w:rsidRPr="003C76D5">
          <w:rPr>
            <w:rStyle w:val="Hyperlink"/>
          </w:rPr>
          <w:t>(FAG 20</w:t>
        </w:r>
        <w:r w:rsidR="006E346A">
          <w:rPr>
            <w:rStyle w:val="Hyperlink"/>
          </w:rPr>
          <w:t>17</w:t>
        </w:r>
        <w:r w:rsidR="0000091E" w:rsidRPr="003C76D5">
          <w:rPr>
            <w:rStyle w:val="Hyperlink"/>
          </w:rPr>
          <w:t>)</w:t>
        </w:r>
      </w:hyperlink>
      <w:r w:rsidR="0000091E" w:rsidRPr="00BD7717">
        <w:t xml:space="preserve"> ist die Gebrauchsabgabe eine ausschließliche Gemeindeabgabe</w:t>
      </w:r>
      <w:r w:rsidR="0000091E">
        <w:t xml:space="preserve">. </w:t>
      </w:r>
      <w:r w:rsidR="0000091E" w:rsidRPr="00BD7717">
        <w:t>Ob und in welcher genauen Höhe die Abgabe eingehoben wird, kann die Gemeinde mittels Verordnung des Gemeinderats festlegen. Die genaue Höhe der in einer Gemeinde zur Anwendung gelangenden Gebrauchsabgabe kann nur durch einen Anruf beim Gemeindeamt bzw. dem Amt der Lande</w:t>
      </w:r>
      <w:r w:rsidR="0000091E">
        <w:t>s</w:t>
      </w:r>
      <w:r w:rsidR="0000091E" w:rsidRPr="00BD7717">
        <w:t xml:space="preserve">regierung geklärt werden, da eine vollständige Übersicht über Gemeinderecht nicht in öffentlich zugänglichen Rechtsdatenbanken verfügbar ist. Eine </w:t>
      </w:r>
      <w:r w:rsidR="0000091E">
        <w:t xml:space="preserve">abschließende </w:t>
      </w:r>
      <w:r w:rsidR="0000091E" w:rsidRPr="00BD7717">
        <w:t xml:space="preserve">Aussage, ob und in welcher Höhe die </w:t>
      </w:r>
      <w:r w:rsidR="0000091E">
        <w:t>Gebrauchsa</w:t>
      </w:r>
      <w:r w:rsidR="0000091E" w:rsidRPr="00BD7717">
        <w:t>bgabe eingehoben wird, kann daher nicht getroffen werden.</w:t>
      </w:r>
    </w:p>
    <w:p w14:paraId="33E2C7C7" w14:textId="77777777" w:rsidR="001D16D4" w:rsidRDefault="001D16D4" w:rsidP="0000091E"/>
    <w:p w14:paraId="1E16F4A9" w14:textId="01741602" w:rsidR="001D16D4" w:rsidRDefault="001D16D4" w:rsidP="001D16D4">
      <w:r>
        <w:lastRenderedPageBreak/>
        <w:t xml:space="preserve">Die Netzbetreiber haben die Pflicht die </w:t>
      </w:r>
      <w:r w:rsidRPr="009D7CA8">
        <w:rPr>
          <w:b/>
        </w:rPr>
        <w:t>Ökostrompauschale</w:t>
      </w:r>
      <w:r w:rsidR="009C4A99" w:rsidRPr="00860EE2">
        <w:t xml:space="preserve"> und</w:t>
      </w:r>
      <w:r w:rsidR="009C4A99" w:rsidRPr="007C6EFD">
        <w:t xml:space="preserve"> </w:t>
      </w:r>
      <w:r w:rsidRPr="007C6EFD">
        <w:t>den</w:t>
      </w:r>
      <w:r w:rsidRPr="009D7CA8">
        <w:rPr>
          <w:b/>
        </w:rPr>
        <w:t xml:space="preserve"> Ökostromförderbeitrag</w:t>
      </w:r>
      <w:r w:rsidR="000F5441">
        <w:rPr>
          <w:b/>
        </w:rPr>
        <w:t xml:space="preserve"> </w:t>
      </w:r>
      <w:r>
        <w:t xml:space="preserve">vom Endkunden im Rahmen der Netzabrechnung (für die </w:t>
      </w:r>
      <w:proofErr w:type="spellStart"/>
      <w:r>
        <w:t>OeMAG</w:t>
      </w:r>
      <w:proofErr w:type="spellEnd"/>
      <w:r>
        <w:t xml:space="preserve">) einzuheben. Als Stromhändler haben Sie von Ihren Endkunden keinerlei Fördergelder für </w:t>
      </w:r>
      <w:r w:rsidR="000F5441">
        <w:t xml:space="preserve">diese </w:t>
      </w:r>
      <w:r>
        <w:t>einzuheben (ausgenommen, Ihr Unternehmen entschließt sich für eine gemeinsame Rechnungslegung: näheres hierzu siehe im Abschnitt M) Rechnungslegung).</w:t>
      </w:r>
    </w:p>
    <w:p w14:paraId="71B4C94A" w14:textId="77777777" w:rsidR="001D16D4" w:rsidRDefault="001D16D4" w:rsidP="001D16D4">
      <w:r>
        <w:t xml:space="preserve">Nähere Informationen zum Fördersystem finden Sie unter: </w:t>
      </w:r>
    </w:p>
    <w:p w14:paraId="3F9B0A2D" w14:textId="77777777" w:rsidR="001D16D4" w:rsidRDefault="00F26E1C" w:rsidP="001D16D4">
      <w:hyperlink r:id="rId139" w:history="1">
        <w:r w:rsidR="001D16D4" w:rsidRPr="00E24896">
          <w:rPr>
            <w:rStyle w:val="Hyperlink"/>
          </w:rPr>
          <w:t>http://www.e-control.at/de/marktteilnehmer/oeko-energie/oekostrom-foerdersystem</w:t>
        </w:r>
      </w:hyperlink>
    </w:p>
    <w:p w14:paraId="39E24893" w14:textId="77777777" w:rsidR="00C025BD" w:rsidRDefault="00C025BD" w:rsidP="0000091E"/>
    <w:p w14:paraId="3906FC48" w14:textId="77777777" w:rsidR="0000091E" w:rsidRDefault="0000091E" w:rsidP="0000091E">
      <w:r>
        <w:t xml:space="preserve">Die Belieferung der Endkunden mit elektrischer Energie unterliegt dem Umsatzsteuergesetz. Auf die gesamte Rechnungssumme wird in Österreich die </w:t>
      </w:r>
      <w:r w:rsidRPr="00716303">
        <w:rPr>
          <w:b/>
        </w:rPr>
        <w:t xml:space="preserve">Umsatzsteuer </w:t>
      </w:r>
      <w:r>
        <w:t xml:space="preserve">von 20% aufgeschlagen. </w:t>
      </w:r>
    </w:p>
    <w:p w14:paraId="5C091791" w14:textId="77777777" w:rsidR="00C025BD" w:rsidRDefault="00C025BD" w:rsidP="0000091E"/>
    <w:p w14:paraId="63DA0578" w14:textId="77777777" w:rsidR="0000091E" w:rsidRPr="006D6A8F" w:rsidRDefault="0000091E" w:rsidP="006A0334">
      <w:pPr>
        <w:keepNext/>
        <w:rPr>
          <w:b/>
        </w:rPr>
      </w:pPr>
      <w:r w:rsidRPr="006D6A8F">
        <w:rPr>
          <w:b/>
        </w:rPr>
        <w:t>Handlungsanwei</w:t>
      </w:r>
      <w:r>
        <w:rPr>
          <w:b/>
        </w:rPr>
        <w:t>s</w:t>
      </w:r>
      <w:r w:rsidRPr="006D6A8F">
        <w:rPr>
          <w:b/>
        </w:rPr>
        <w:t xml:space="preserve">ung </w:t>
      </w:r>
    </w:p>
    <w:p w14:paraId="3E10A6BC" w14:textId="77777777" w:rsidR="0000091E" w:rsidRDefault="0000091E" w:rsidP="006A0334">
      <w:pPr>
        <w:keepNext/>
      </w:pPr>
      <w:r>
        <w:t>Als Lieferant stellen Sie Ihren Kunden die Gebrauchsabgabe, wenn sie auf den Energiekostenanteil zu erheben ist, sowie die Umsatzsteuer auf die gesamte Rechnungssumme in Rechnung.</w:t>
      </w:r>
    </w:p>
    <w:p w14:paraId="1FD9417B" w14:textId="77777777" w:rsidR="00C025BD" w:rsidRDefault="00C025BD" w:rsidP="0000091E"/>
    <w:p w14:paraId="7D357493" w14:textId="0C27C631" w:rsidR="0000091E" w:rsidRDefault="0000091E" w:rsidP="009F4AC8">
      <w:pPr>
        <w:rPr>
          <w:rStyle w:val="Hyperlink"/>
        </w:rPr>
      </w:pPr>
      <w:r>
        <w:t xml:space="preserve">Ob die Gebrauchsabgabe abzuführen ist, hängt vom Wohnsitz Ihrer Kunden ab. Die Höhe der Gebrauchsabgabe ist unterschiedlich. Die unterschiedlichen Gebrauchsabgaben müssen in Ihrem Abrechnungssystem Berücksichtigung finden. </w:t>
      </w:r>
      <w:r w:rsidR="009F4AC8">
        <w:t>Es gibt keine offizielle Stelle, die eine umfassende Liste jener Gemeinden (und deren Regelungen), die derzeit in Österreich die Gebrauchsabgabe einheben, zur Verfügung stellen muss.</w:t>
      </w:r>
    </w:p>
    <w:p w14:paraId="796C7DB7" w14:textId="77777777" w:rsidR="009F4AC8" w:rsidRDefault="009F4AC8"/>
    <w:p w14:paraId="7D0A9977" w14:textId="24139E73" w:rsidR="00501884" w:rsidRDefault="009A13DF" w:rsidP="0000091E">
      <w:r>
        <w:t xml:space="preserve">Auf unserer Website </w:t>
      </w:r>
      <w:r w:rsidR="0000091E">
        <w:t xml:space="preserve">finden </w:t>
      </w:r>
      <w:r w:rsidR="005467CC">
        <w:t xml:space="preserve">sie </w:t>
      </w:r>
      <w:r>
        <w:t xml:space="preserve">jedoch </w:t>
      </w:r>
      <w:r w:rsidR="005467CC">
        <w:t>n</w:t>
      </w:r>
      <w:r w:rsidR="005467CC" w:rsidRPr="006D26E6">
        <w:t>ähere Informationen über Gebrauchsabgaben Regelungen in den einzelnen Bundesländern</w:t>
      </w:r>
      <w:r w:rsidR="009F4AC8">
        <w:t xml:space="preserve"> und</w:t>
      </w:r>
      <w:r w:rsidR="005467CC" w:rsidDel="009A13DF">
        <w:t xml:space="preserve"> </w:t>
      </w:r>
      <w:r w:rsidR="0000091E">
        <w:t>eine Aufstellung jener Gemeinden sowie dazugehöriger Regelungen, die bei der Stromversorgung</w:t>
      </w:r>
      <w:r w:rsidR="00E06EA2">
        <w:t xml:space="preserve"> die</w:t>
      </w:r>
      <w:r w:rsidR="0000091E">
        <w:t xml:space="preserve"> Gebrauchsabgabe einheben und der Regulierungsbehörde zum </w:t>
      </w:r>
      <w:r w:rsidR="004D58AE">
        <w:t xml:space="preserve">angegebenen </w:t>
      </w:r>
      <w:r w:rsidR="0000091E">
        <w:t>Stand bekannt waren</w:t>
      </w:r>
      <w:r>
        <w:t xml:space="preserve"> und zwar unter:  </w:t>
      </w:r>
      <w:hyperlink r:id="rId140" w:history="1">
        <w:r>
          <w:rPr>
            <w:rStyle w:val="Hyperlink"/>
          </w:rPr>
          <w:t>https://www.e-control.at/marktteilnehmer/strom/strommarkt/preise/steuern-und-abgaben/gebrauchsabgabe</w:t>
        </w:r>
      </w:hyperlink>
    </w:p>
    <w:p w14:paraId="553DB4FB" w14:textId="1FB26BBC" w:rsidR="000F5441" w:rsidRDefault="000F5441"/>
    <w:p w14:paraId="5E118125" w14:textId="77777777" w:rsidR="00FD03D1" w:rsidRDefault="00FD03D1">
      <w:pPr>
        <w:spacing w:line="240" w:lineRule="auto"/>
      </w:pPr>
    </w:p>
    <w:tbl>
      <w:tblPr>
        <w:tblW w:w="0" w:type="auto"/>
        <w:tblInd w:w="55" w:type="dxa"/>
        <w:tblCellMar>
          <w:left w:w="70" w:type="dxa"/>
          <w:right w:w="70" w:type="dxa"/>
        </w:tblCellMar>
        <w:tblLook w:val="04A0" w:firstRow="1" w:lastRow="0" w:firstColumn="1" w:lastColumn="0" w:noHBand="0" w:noVBand="1"/>
      </w:tblPr>
      <w:tblGrid>
        <w:gridCol w:w="7856"/>
        <w:gridCol w:w="1651"/>
      </w:tblGrid>
      <w:tr w:rsidR="0000091E" w:rsidRPr="009D6189" w14:paraId="13B9489C" w14:textId="77777777" w:rsidTr="00E808A8">
        <w:trPr>
          <w:trHeight w:val="255"/>
        </w:trPr>
        <w:tc>
          <w:tcPr>
            <w:tcW w:w="0" w:type="auto"/>
            <w:tcBorders>
              <w:top w:val="nil"/>
              <w:left w:val="nil"/>
              <w:bottom w:val="nil"/>
              <w:right w:val="nil"/>
            </w:tcBorders>
            <w:shd w:val="clear" w:color="000000" w:fill="95B3D7"/>
            <w:noWrap/>
            <w:vAlign w:val="center"/>
            <w:hideMark/>
          </w:tcPr>
          <w:p w14:paraId="1A7173DC" w14:textId="77777777" w:rsidR="0000091E" w:rsidRPr="009D6189" w:rsidRDefault="0000091E" w:rsidP="00E808A8">
            <w:pPr>
              <w:pStyle w:val="Listenabsatz"/>
              <w:spacing w:line="276" w:lineRule="auto"/>
              <w:ind w:left="0"/>
              <w:rPr>
                <w:b/>
              </w:rPr>
            </w:pPr>
            <w:r w:rsidRPr="009D6189">
              <w:rPr>
                <w:b/>
              </w:rPr>
              <w:t>Checkliste</w:t>
            </w:r>
            <w:r w:rsidR="00C03CDD">
              <w:rPr>
                <w:b/>
              </w:rPr>
              <w:t xml:space="preserve"> –</w:t>
            </w:r>
            <w:r w:rsidRPr="009D6189">
              <w:rPr>
                <w:b/>
              </w:rPr>
              <w:t xml:space="preserve"> Steuern und Abgaben</w:t>
            </w:r>
          </w:p>
        </w:tc>
        <w:tc>
          <w:tcPr>
            <w:tcW w:w="0" w:type="auto"/>
            <w:tcBorders>
              <w:top w:val="nil"/>
              <w:left w:val="nil"/>
              <w:bottom w:val="nil"/>
              <w:right w:val="nil"/>
            </w:tcBorders>
            <w:shd w:val="clear" w:color="000000" w:fill="95B3D7"/>
            <w:noWrap/>
            <w:vAlign w:val="center"/>
            <w:hideMark/>
          </w:tcPr>
          <w:p w14:paraId="0D767027" w14:textId="77777777" w:rsidR="0000091E" w:rsidRPr="009D6189" w:rsidRDefault="0000091E" w:rsidP="00E808A8">
            <w:pPr>
              <w:pStyle w:val="Listenabsatz"/>
              <w:spacing w:line="276" w:lineRule="auto"/>
              <w:rPr>
                <w:rFonts w:cstheme="minorHAnsi"/>
                <w:b/>
              </w:rPr>
            </w:pPr>
            <w:r w:rsidRPr="009D6189">
              <w:rPr>
                <w:rFonts w:cstheme="minorHAnsi"/>
                <w:b/>
              </w:rPr>
              <w:t>AT *</w:t>
            </w:r>
          </w:p>
        </w:tc>
      </w:tr>
      <w:tr w:rsidR="0000091E" w:rsidRPr="00A739A7" w14:paraId="0EF580E8" w14:textId="77777777" w:rsidTr="00E808A8">
        <w:trPr>
          <w:trHeight w:val="255"/>
        </w:trPr>
        <w:tc>
          <w:tcPr>
            <w:tcW w:w="0" w:type="auto"/>
            <w:tcBorders>
              <w:top w:val="single" w:sz="4" w:space="0" w:color="FFFFFF"/>
              <w:left w:val="single" w:sz="4" w:space="0" w:color="FFFFFF"/>
              <w:bottom w:val="nil"/>
              <w:right w:val="single" w:sz="4" w:space="0" w:color="FFFFFF"/>
            </w:tcBorders>
            <w:shd w:val="clear" w:color="000000" w:fill="BDD1E7"/>
            <w:vAlign w:val="center"/>
          </w:tcPr>
          <w:p w14:paraId="4623443D" w14:textId="77777777" w:rsidR="0000091E" w:rsidRPr="00CC2D0B" w:rsidRDefault="0000091E" w:rsidP="00E808A8">
            <w:pPr>
              <w:pStyle w:val="Listenabsatz"/>
              <w:spacing w:line="276" w:lineRule="auto"/>
            </w:pPr>
            <w:r w:rsidRPr="00CC2D0B">
              <w:t xml:space="preserve">Vertraut </w:t>
            </w:r>
            <w:r w:rsidR="006F19D6">
              <w:t xml:space="preserve">gemacht </w:t>
            </w:r>
            <w:r w:rsidRPr="00CC2D0B">
              <w:t>mit den einschlägigen steuer- und abgabenrechtlichen Bestimmungen</w:t>
            </w:r>
          </w:p>
        </w:tc>
        <w:tc>
          <w:tcPr>
            <w:tcW w:w="0" w:type="auto"/>
            <w:tcBorders>
              <w:top w:val="single" w:sz="4" w:space="0" w:color="FFFFFF"/>
              <w:left w:val="nil"/>
              <w:bottom w:val="nil"/>
              <w:right w:val="single" w:sz="4" w:space="0" w:color="FFFFFF"/>
            </w:tcBorders>
            <w:shd w:val="clear" w:color="000000" w:fill="BDD1E7"/>
            <w:noWrap/>
            <w:vAlign w:val="center"/>
            <w:hideMark/>
          </w:tcPr>
          <w:p w14:paraId="51FDC182" w14:textId="77777777" w:rsidR="0000091E" w:rsidRPr="00CC2D0B" w:rsidRDefault="0000091E" w:rsidP="00E808A8">
            <w:pPr>
              <w:pStyle w:val="Listenabsatz"/>
              <w:spacing w:line="276" w:lineRule="auto"/>
            </w:pPr>
            <w:r w:rsidRPr="00CC2D0B">
              <w:t>2</w:t>
            </w:r>
          </w:p>
        </w:tc>
      </w:tr>
      <w:tr w:rsidR="0000091E" w:rsidRPr="00A739A7" w14:paraId="3F1EC628" w14:textId="77777777" w:rsidTr="00E808A8">
        <w:trPr>
          <w:trHeight w:val="255"/>
        </w:trPr>
        <w:tc>
          <w:tcPr>
            <w:tcW w:w="0" w:type="auto"/>
            <w:tcBorders>
              <w:top w:val="nil"/>
              <w:left w:val="single" w:sz="4" w:space="0" w:color="FFFFFF"/>
              <w:bottom w:val="nil"/>
              <w:right w:val="single" w:sz="4" w:space="0" w:color="FFFFFF"/>
            </w:tcBorders>
            <w:shd w:val="clear" w:color="000000" w:fill="DAE6F2"/>
            <w:noWrap/>
            <w:vAlign w:val="center"/>
            <w:hideMark/>
          </w:tcPr>
          <w:p w14:paraId="7B5EEE3D" w14:textId="77777777" w:rsidR="0000091E" w:rsidRPr="00CC2D0B" w:rsidRDefault="0000091E" w:rsidP="00E808A8">
            <w:pPr>
              <w:pStyle w:val="Listenabsatz"/>
              <w:spacing w:line="276" w:lineRule="auto"/>
            </w:pPr>
            <w:r w:rsidRPr="00CC2D0B">
              <w:t>Fest</w:t>
            </w:r>
            <w:r w:rsidR="006F19D6">
              <w:t>ge</w:t>
            </w:r>
            <w:r w:rsidRPr="00CC2D0B">
              <w:t>stell</w:t>
            </w:r>
            <w:r w:rsidR="006F19D6">
              <w:t>t</w:t>
            </w:r>
            <w:r w:rsidRPr="00CC2D0B">
              <w:t xml:space="preserve"> in welchen Gemeindegebieten die Gebrauchsabgabe für Ihre Kunden abzuführen ist</w:t>
            </w:r>
          </w:p>
        </w:tc>
        <w:tc>
          <w:tcPr>
            <w:tcW w:w="0" w:type="auto"/>
            <w:tcBorders>
              <w:top w:val="nil"/>
              <w:left w:val="nil"/>
              <w:bottom w:val="nil"/>
              <w:right w:val="single" w:sz="4" w:space="0" w:color="FFFFFF"/>
            </w:tcBorders>
            <w:shd w:val="clear" w:color="000000" w:fill="DAE6F2"/>
            <w:noWrap/>
            <w:vAlign w:val="center"/>
            <w:hideMark/>
          </w:tcPr>
          <w:p w14:paraId="03E68F94" w14:textId="77777777" w:rsidR="0000091E" w:rsidRPr="00CC2D0B" w:rsidRDefault="0000091E" w:rsidP="00E808A8">
            <w:pPr>
              <w:pStyle w:val="Listenabsatz"/>
              <w:spacing w:line="276" w:lineRule="auto"/>
            </w:pPr>
            <w:r w:rsidRPr="00CC2D0B">
              <w:t>0,5</w:t>
            </w:r>
          </w:p>
        </w:tc>
      </w:tr>
      <w:tr w:rsidR="0000091E" w:rsidRPr="00A739A7" w14:paraId="12A6EAB2" w14:textId="77777777" w:rsidTr="00E808A8">
        <w:trPr>
          <w:trHeight w:val="255"/>
        </w:trPr>
        <w:tc>
          <w:tcPr>
            <w:tcW w:w="0" w:type="auto"/>
            <w:tcBorders>
              <w:top w:val="single" w:sz="4" w:space="0" w:color="FFFFFF"/>
              <w:left w:val="single" w:sz="4" w:space="0" w:color="FFFFFF"/>
              <w:bottom w:val="nil"/>
              <w:right w:val="single" w:sz="4" w:space="0" w:color="FFFFFF"/>
            </w:tcBorders>
            <w:shd w:val="clear" w:color="000000" w:fill="BDD1E7"/>
            <w:vAlign w:val="center"/>
          </w:tcPr>
          <w:p w14:paraId="1AA4B883" w14:textId="77777777" w:rsidR="0000091E" w:rsidRPr="00CC2D0B" w:rsidRDefault="0000091E" w:rsidP="00E808A8">
            <w:pPr>
              <w:pStyle w:val="Listenabsatz"/>
              <w:spacing w:line="276" w:lineRule="auto"/>
            </w:pPr>
            <w:r w:rsidRPr="00CC2D0B">
              <w:t>Abrechnungssystem entsprechend österr. Steuer- und Abgabensystem an</w:t>
            </w:r>
            <w:r w:rsidR="006F19D6">
              <w:t>ge</w:t>
            </w:r>
            <w:r w:rsidRPr="00CC2D0B">
              <w:t>pass</w:t>
            </w:r>
            <w:r w:rsidR="006F19D6">
              <w:t>t</w:t>
            </w:r>
          </w:p>
        </w:tc>
        <w:tc>
          <w:tcPr>
            <w:tcW w:w="0" w:type="auto"/>
            <w:tcBorders>
              <w:top w:val="single" w:sz="4" w:space="0" w:color="FFFFFF"/>
              <w:left w:val="nil"/>
              <w:bottom w:val="nil"/>
              <w:right w:val="single" w:sz="4" w:space="0" w:color="FFFFFF"/>
            </w:tcBorders>
            <w:shd w:val="clear" w:color="000000" w:fill="BDD1E7"/>
            <w:noWrap/>
            <w:vAlign w:val="center"/>
            <w:hideMark/>
          </w:tcPr>
          <w:p w14:paraId="3C47341C" w14:textId="77777777" w:rsidR="0000091E" w:rsidRPr="00CC2D0B" w:rsidRDefault="0000091E" w:rsidP="00E808A8">
            <w:pPr>
              <w:pStyle w:val="Listenabsatz"/>
              <w:spacing w:line="276" w:lineRule="auto"/>
            </w:pPr>
            <w:r>
              <w:t>sehr variabel</w:t>
            </w:r>
          </w:p>
        </w:tc>
      </w:tr>
      <w:tr w:rsidR="0000091E" w:rsidRPr="00A739A7" w14:paraId="2B410544" w14:textId="77777777" w:rsidTr="00E808A8">
        <w:trPr>
          <w:trHeight w:val="255"/>
        </w:trPr>
        <w:tc>
          <w:tcPr>
            <w:tcW w:w="0" w:type="auto"/>
            <w:tcBorders>
              <w:top w:val="nil"/>
              <w:left w:val="single" w:sz="4" w:space="0" w:color="FFFFFF"/>
              <w:bottom w:val="nil"/>
              <w:right w:val="single" w:sz="4" w:space="0" w:color="FFFFFF"/>
            </w:tcBorders>
            <w:shd w:val="clear" w:color="000000" w:fill="DAE6F2"/>
            <w:noWrap/>
            <w:vAlign w:val="center"/>
            <w:hideMark/>
          </w:tcPr>
          <w:p w14:paraId="28865DF2" w14:textId="0DA90D09" w:rsidR="0000091E" w:rsidRPr="00CC2D0B" w:rsidRDefault="0000091E" w:rsidP="00E808A8">
            <w:pPr>
              <w:pStyle w:val="Listenabsatz"/>
              <w:spacing w:line="276" w:lineRule="auto"/>
            </w:pPr>
            <w:r w:rsidRPr="00CC2D0B">
              <w:t>Gebrauchsabgabe an entsprechende</w:t>
            </w:r>
            <w:r w:rsidR="006C49D3">
              <w:t>(s)</w:t>
            </w:r>
            <w:r w:rsidRPr="00CC2D0B">
              <w:t xml:space="preserve"> Magistrat(e) abführen</w:t>
            </w:r>
          </w:p>
        </w:tc>
        <w:tc>
          <w:tcPr>
            <w:tcW w:w="0" w:type="auto"/>
            <w:tcBorders>
              <w:top w:val="nil"/>
              <w:left w:val="nil"/>
              <w:bottom w:val="nil"/>
              <w:right w:val="single" w:sz="4" w:space="0" w:color="FFFFFF"/>
            </w:tcBorders>
            <w:shd w:val="clear" w:color="000000" w:fill="DAE6F2"/>
            <w:noWrap/>
            <w:vAlign w:val="center"/>
            <w:hideMark/>
          </w:tcPr>
          <w:p w14:paraId="45CED7FE" w14:textId="77777777" w:rsidR="0000091E" w:rsidRDefault="0000091E" w:rsidP="00E808A8">
            <w:pPr>
              <w:pStyle w:val="Listenabsatz"/>
              <w:spacing w:line="276" w:lineRule="auto"/>
            </w:pPr>
            <w:r w:rsidRPr="00CC2D0B">
              <w:t>laufend</w:t>
            </w:r>
          </w:p>
        </w:tc>
      </w:tr>
    </w:tbl>
    <w:p w14:paraId="7873BAF2" w14:textId="77777777" w:rsidR="0000091E" w:rsidRPr="009D6189" w:rsidRDefault="0000091E" w:rsidP="0000091E">
      <w:pPr>
        <w:rPr>
          <w:sz w:val="16"/>
          <w:szCs w:val="16"/>
        </w:rPr>
      </w:pPr>
      <w:r w:rsidRPr="009D6189">
        <w:rPr>
          <w:sz w:val="16"/>
          <w:szCs w:val="16"/>
        </w:rPr>
        <w:t>*</w:t>
      </w:r>
      <w:r w:rsidR="006F1A1F">
        <w:rPr>
          <w:sz w:val="16"/>
          <w:szCs w:val="16"/>
        </w:rPr>
        <w:t xml:space="preserve"> AT= Arbeitstage sind </w:t>
      </w:r>
      <w:r w:rsidR="006F1A1F" w:rsidRPr="00EF4434">
        <w:rPr>
          <w:sz w:val="16"/>
          <w:szCs w:val="16"/>
        </w:rPr>
        <w:t>Erfahrungswerte als Orientierungshilfe</w:t>
      </w:r>
      <w:r w:rsidRPr="009D6189">
        <w:rPr>
          <w:sz w:val="16"/>
          <w:szCs w:val="16"/>
        </w:rPr>
        <w:tab/>
      </w:r>
    </w:p>
    <w:p w14:paraId="0AD7CD6E" w14:textId="77777777" w:rsidR="002F5413" w:rsidRDefault="002F5413" w:rsidP="00705C28"/>
    <w:p w14:paraId="13F09DA6" w14:textId="77777777" w:rsidR="002F5413" w:rsidRDefault="002F5413" w:rsidP="00744141">
      <w:pPr>
        <w:pStyle w:val="berschrift2"/>
        <w:keepNext/>
        <w:keepLines/>
        <w:widowControl/>
        <w:numPr>
          <w:ilvl w:val="0"/>
          <w:numId w:val="24"/>
        </w:numPr>
        <w:overflowPunct/>
        <w:autoSpaceDE/>
        <w:autoSpaceDN/>
        <w:adjustRightInd/>
        <w:spacing w:before="200" w:after="0" w:line="276" w:lineRule="auto"/>
        <w:jc w:val="left"/>
        <w:textAlignment w:val="auto"/>
      </w:pPr>
      <w:bookmarkStart w:id="99" w:name="_Toc31376460"/>
      <w:r>
        <w:t>Energieeffizienzverpflichtungen</w:t>
      </w:r>
      <w:bookmarkEnd w:id="99"/>
      <w:r>
        <w:t xml:space="preserve"> </w:t>
      </w:r>
    </w:p>
    <w:p w14:paraId="10DCB4FC" w14:textId="77777777" w:rsidR="002F5413" w:rsidRDefault="002F5413" w:rsidP="002F5413"/>
    <w:p w14:paraId="20681C2B" w14:textId="6B0D1B97" w:rsidR="00793C6E" w:rsidRPr="007C6EFD" w:rsidRDefault="00793C6E" w:rsidP="00793C6E">
      <w:pPr>
        <w:keepNext/>
        <w:rPr>
          <w:i/>
        </w:rPr>
      </w:pPr>
      <w:r w:rsidRPr="007C6EFD">
        <w:rPr>
          <w:b/>
          <w:i/>
        </w:rPr>
        <w:t>Hinweis</w:t>
      </w:r>
      <w:r w:rsidRPr="007C6EFD">
        <w:rPr>
          <w:i/>
        </w:rPr>
        <w:t xml:space="preserve"> </w:t>
      </w:r>
    </w:p>
    <w:p w14:paraId="47173C1F" w14:textId="7AB72114" w:rsidR="00F72FE3" w:rsidRDefault="00793C6E" w:rsidP="00793C6E">
      <w:pPr>
        <w:keepNext/>
        <w:rPr>
          <w:i/>
        </w:rPr>
      </w:pPr>
      <w:r w:rsidRPr="007C6EFD">
        <w:rPr>
          <w:i/>
        </w:rPr>
        <w:t xml:space="preserve">Das Bundes-Energieeffizienzgesetz wird im Jahr 2021 geändert. </w:t>
      </w:r>
      <w:r>
        <w:rPr>
          <w:i/>
        </w:rPr>
        <w:t xml:space="preserve">Es ist davon auszugehen, dass </w:t>
      </w:r>
      <w:r w:rsidR="00F72FE3">
        <w:rPr>
          <w:i/>
        </w:rPr>
        <w:t>die bislang geltende</w:t>
      </w:r>
      <w:r w:rsidR="000532C1">
        <w:rPr>
          <w:i/>
        </w:rPr>
        <w:t>n</w:t>
      </w:r>
      <w:r w:rsidR="00F72FE3">
        <w:rPr>
          <w:i/>
        </w:rPr>
        <w:t xml:space="preserve"> Verpflichtung</w:t>
      </w:r>
      <w:r w:rsidR="000532C1">
        <w:rPr>
          <w:i/>
        </w:rPr>
        <w:t>en</w:t>
      </w:r>
      <w:r w:rsidR="00F72FE3">
        <w:rPr>
          <w:i/>
        </w:rPr>
        <w:t xml:space="preserve"> von </w:t>
      </w:r>
      <w:r>
        <w:rPr>
          <w:i/>
        </w:rPr>
        <w:t xml:space="preserve">Energielieferanten Energieeffizienzmaßnahmen </w:t>
      </w:r>
      <w:r w:rsidR="00F72FE3">
        <w:rPr>
          <w:i/>
        </w:rPr>
        <w:t xml:space="preserve">zu setzen und nachzuweisen, </w:t>
      </w:r>
      <w:r w:rsidR="00696DE9">
        <w:rPr>
          <w:i/>
        </w:rPr>
        <w:t xml:space="preserve">im künftigen Gesetz </w:t>
      </w:r>
      <w:r w:rsidR="000532C1">
        <w:rPr>
          <w:i/>
        </w:rPr>
        <w:t>weiterhin ent</w:t>
      </w:r>
      <w:r w:rsidR="00F72FE3">
        <w:rPr>
          <w:i/>
        </w:rPr>
        <w:t xml:space="preserve">halten </w:t>
      </w:r>
      <w:r w:rsidR="000532C1">
        <w:rPr>
          <w:i/>
        </w:rPr>
        <w:t>sein werden.</w:t>
      </w:r>
    </w:p>
    <w:p w14:paraId="40EEA320" w14:textId="77777777" w:rsidR="000532C1" w:rsidRDefault="000532C1" w:rsidP="00793C6E">
      <w:pPr>
        <w:keepNext/>
        <w:rPr>
          <w:i/>
        </w:rPr>
      </w:pPr>
    </w:p>
    <w:p w14:paraId="550D6507" w14:textId="77E3B83F" w:rsidR="00793C6E" w:rsidRPr="007C6EFD" w:rsidRDefault="00F72FE3" w:rsidP="00793C6E">
      <w:pPr>
        <w:keepNext/>
        <w:rPr>
          <w:i/>
        </w:rPr>
      </w:pPr>
      <w:r>
        <w:rPr>
          <w:i/>
        </w:rPr>
        <w:t xml:space="preserve">Informationen </w:t>
      </w:r>
      <w:r w:rsidR="009C4A99">
        <w:rPr>
          <w:i/>
        </w:rPr>
        <w:t xml:space="preserve">über die </w:t>
      </w:r>
      <w:r w:rsidR="000532C1">
        <w:rPr>
          <w:i/>
        </w:rPr>
        <w:t xml:space="preserve">neuen </w:t>
      </w:r>
      <w:r>
        <w:rPr>
          <w:i/>
        </w:rPr>
        <w:t xml:space="preserve">rechtlichen </w:t>
      </w:r>
      <w:r w:rsidR="009C4A99">
        <w:rPr>
          <w:i/>
        </w:rPr>
        <w:t>Regelungen</w:t>
      </w:r>
      <w:r>
        <w:rPr>
          <w:i/>
        </w:rPr>
        <w:t xml:space="preserve"> und </w:t>
      </w:r>
      <w:r w:rsidR="009C4A99">
        <w:rPr>
          <w:i/>
        </w:rPr>
        <w:t xml:space="preserve">die </w:t>
      </w:r>
      <w:r w:rsidR="000532C1">
        <w:rPr>
          <w:i/>
        </w:rPr>
        <w:t>sich daraus ergebende</w:t>
      </w:r>
      <w:r w:rsidR="009C4A99">
        <w:rPr>
          <w:i/>
        </w:rPr>
        <w:t>n</w:t>
      </w:r>
      <w:r w:rsidR="000532C1">
        <w:rPr>
          <w:i/>
        </w:rPr>
        <w:t xml:space="preserve"> </w:t>
      </w:r>
      <w:r w:rsidR="009C4A99">
        <w:rPr>
          <w:i/>
        </w:rPr>
        <w:t>Vorgaben</w:t>
      </w:r>
      <w:r w:rsidR="000532C1">
        <w:rPr>
          <w:i/>
        </w:rPr>
        <w:t xml:space="preserve"> für Lieferanten</w:t>
      </w:r>
      <w:r>
        <w:rPr>
          <w:i/>
        </w:rPr>
        <w:t xml:space="preserve"> </w:t>
      </w:r>
      <w:r w:rsidR="000532C1">
        <w:rPr>
          <w:i/>
        </w:rPr>
        <w:t>finden sich</w:t>
      </w:r>
      <w:r w:rsidR="009321F2">
        <w:rPr>
          <w:i/>
        </w:rPr>
        <w:t xml:space="preserve"> -</w:t>
      </w:r>
      <w:r w:rsidR="000532C1">
        <w:rPr>
          <w:i/>
        </w:rPr>
        <w:t xml:space="preserve"> </w:t>
      </w:r>
      <w:r w:rsidR="009C4A99">
        <w:rPr>
          <w:i/>
        </w:rPr>
        <w:t>sobald verfügbar</w:t>
      </w:r>
      <w:r w:rsidR="009321F2">
        <w:rPr>
          <w:i/>
        </w:rPr>
        <w:t xml:space="preserve"> -</w:t>
      </w:r>
      <w:r>
        <w:rPr>
          <w:i/>
        </w:rPr>
        <w:t xml:space="preserve"> in diesem Kapitel</w:t>
      </w:r>
      <w:r w:rsidR="000532C1">
        <w:rPr>
          <w:i/>
        </w:rPr>
        <w:t>.</w:t>
      </w:r>
      <w:r>
        <w:rPr>
          <w:i/>
        </w:rPr>
        <w:t xml:space="preserve"> </w:t>
      </w:r>
    </w:p>
    <w:p w14:paraId="1858A4F9" w14:textId="77777777" w:rsidR="00793C6E" w:rsidRDefault="00793C6E" w:rsidP="000905B1">
      <w:pPr>
        <w:rPr>
          <w:b/>
        </w:rPr>
      </w:pPr>
    </w:p>
    <w:p w14:paraId="1A4E796E" w14:textId="77777777" w:rsidR="009864A3" w:rsidRDefault="0000091E" w:rsidP="00744141">
      <w:pPr>
        <w:pStyle w:val="berschrift2"/>
        <w:keepNext/>
        <w:keepLines/>
        <w:widowControl/>
        <w:numPr>
          <w:ilvl w:val="0"/>
          <w:numId w:val="24"/>
        </w:numPr>
        <w:overflowPunct/>
        <w:autoSpaceDE/>
        <w:autoSpaceDN/>
        <w:adjustRightInd/>
        <w:spacing w:before="200" w:after="0" w:line="276" w:lineRule="auto"/>
        <w:jc w:val="left"/>
        <w:textAlignment w:val="auto"/>
      </w:pPr>
      <w:bookmarkStart w:id="100" w:name="_Toc379201271"/>
      <w:bookmarkStart w:id="101" w:name="_Toc31376461"/>
      <w:r>
        <w:t>Meldepflichten</w:t>
      </w:r>
      <w:bookmarkEnd w:id="95"/>
      <w:bookmarkEnd w:id="100"/>
      <w:r>
        <w:t xml:space="preserve"> </w:t>
      </w:r>
      <w:r w:rsidR="009C6C23">
        <w:t>zu Statistik, Energielenkung und Monitoring</w:t>
      </w:r>
      <w:bookmarkEnd w:id="101"/>
    </w:p>
    <w:p w14:paraId="4F953A17" w14:textId="77777777" w:rsidR="009864A3" w:rsidRDefault="009864A3" w:rsidP="009864A3"/>
    <w:p w14:paraId="2AE2747D" w14:textId="77777777" w:rsidR="0000091E" w:rsidRPr="009864A3" w:rsidRDefault="0000091E" w:rsidP="009864A3">
      <w:pPr>
        <w:rPr>
          <w:b/>
        </w:rPr>
      </w:pPr>
      <w:r w:rsidRPr="009864A3">
        <w:rPr>
          <w:b/>
        </w:rPr>
        <w:t>Rechtliche Grundlagen</w:t>
      </w:r>
    </w:p>
    <w:p w14:paraId="4C9B9F66" w14:textId="4F2E9EE7" w:rsidR="00B8084A" w:rsidRPr="003A6F1C" w:rsidRDefault="00CB002C" w:rsidP="003A6F1C">
      <w:pPr>
        <w:pStyle w:val="Listenabsatz"/>
        <w:numPr>
          <w:ilvl w:val="0"/>
          <w:numId w:val="4"/>
        </w:numPr>
        <w:autoSpaceDE w:val="0"/>
        <w:autoSpaceDN w:val="0"/>
        <w:adjustRightInd w:val="0"/>
        <w:ind w:left="360"/>
        <w:rPr>
          <w:rStyle w:val="Hyperlink"/>
          <w:color w:val="auto"/>
          <w:u w:val="none"/>
        </w:rPr>
      </w:pPr>
      <w:r>
        <w:t xml:space="preserve">Monitoring: </w:t>
      </w:r>
      <w:r w:rsidR="0001576B">
        <w:t xml:space="preserve">Aufgrund von § 88 Abs 2 </w:t>
      </w:r>
      <w:proofErr w:type="spellStart"/>
      <w:r w:rsidR="0001576B">
        <w:t>ElWOG</w:t>
      </w:r>
      <w:proofErr w:type="spellEnd"/>
      <w:r w:rsidR="0001576B">
        <w:t xml:space="preserve"> 2010 erlassenen </w:t>
      </w:r>
      <w:hyperlink r:id="rId141" w:anchor="p_p_id_com_liferay_journal_content_web_portlet_JournalContentPortlet_INSTANCE_tSRupV0BzLIh_" w:history="1">
        <w:r w:rsidR="0001576B" w:rsidRPr="00FF6422">
          <w:rPr>
            <w:rStyle w:val="Hyperlink"/>
          </w:rPr>
          <w:t>Elektrizitäts-Monitoring-Verordnung</w:t>
        </w:r>
      </w:hyperlink>
      <w:r w:rsidR="0001576B">
        <w:t xml:space="preserve"> – </w:t>
      </w:r>
      <w:proofErr w:type="spellStart"/>
      <w:r w:rsidR="0001576B">
        <w:t>EMo</w:t>
      </w:r>
      <w:proofErr w:type="spellEnd"/>
      <w:r w:rsidR="0001576B">
        <w:t>-V, BGBl. II Nr. 403/2017, samt Erläuterungen</w:t>
      </w:r>
    </w:p>
    <w:p w14:paraId="093EEA8B" w14:textId="4066EE71" w:rsidR="00B8084A" w:rsidRDefault="00CB002C" w:rsidP="00C545DF">
      <w:pPr>
        <w:pStyle w:val="Listenabsatz"/>
        <w:numPr>
          <w:ilvl w:val="0"/>
          <w:numId w:val="4"/>
        </w:numPr>
        <w:autoSpaceDE w:val="0"/>
        <w:autoSpaceDN w:val="0"/>
        <w:adjustRightInd w:val="0"/>
        <w:ind w:left="360"/>
      </w:pPr>
      <w:r>
        <w:t>Statistik: A</w:t>
      </w:r>
      <w:r w:rsidR="0000091E">
        <w:t xml:space="preserve">ufgrund von § 92 </w:t>
      </w:r>
      <w:proofErr w:type="spellStart"/>
      <w:r w:rsidR="0000091E">
        <w:t>ElWOG</w:t>
      </w:r>
      <w:proofErr w:type="spellEnd"/>
      <w:r w:rsidR="0000091E">
        <w:t xml:space="preserve"> 2010 erlassenen </w:t>
      </w:r>
      <w:hyperlink r:id="rId142" w:anchor="p_p_id_com_liferay_journal_content_web_portlet_JournalContentPortlet_INSTANCE_10309A20134_" w:history="1">
        <w:r w:rsidR="0000091E" w:rsidRPr="00CB002C">
          <w:rPr>
            <w:rStyle w:val="Hyperlink"/>
          </w:rPr>
          <w:t>Elektrizitätsstatistikverordnung 2</w:t>
        </w:r>
        <w:r w:rsidR="00822CF4" w:rsidRPr="00CB002C">
          <w:rPr>
            <w:rStyle w:val="Hyperlink"/>
          </w:rPr>
          <w:t>016</w:t>
        </w:r>
      </w:hyperlink>
      <w:r>
        <w:t>,</w:t>
      </w:r>
      <w:r w:rsidR="003E6A68">
        <w:t xml:space="preserve"> </w:t>
      </w:r>
      <w:r w:rsidR="00822CF4" w:rsidRPr="00822CF4">
        <w:t>BGBl. II Nr. 17/2016</w:t>
      </w:r>
      <w:r>
        <w:t>,</w:t>
      </w:r>
      <w:r w:rsidR="00077F7C">
        <w:t xml:space="preserve"> </w:t>
      </w:r>
      <w:r>
        <w:t xml:space="preserve">samt </w:t>
      </w:r>
      <w:r w:rsidR="00A32332">
        <w:t>Erläuterungen</w:t>
      </w:r>
    </w:p>
    <w:p w14:paraId="4DB88BD8" w14:textId="026B14AB" w:rsidR="0000091E" w:rsidRDefault="00CB002C" w:rsidP="00C545DF">
      <w:pPr>
        <w:pStyle w:val="Listenabsatz"/>
        <w:numPr>
          <w:ilvl w:val="0"/>
          <w:numId w:val="4"/>
        </w:numPr>
        <w:autoSpaceDE w:val="0"/>
        <w:autoSpaceDN w:val="0"/>
        <w:adjustRightInd w:val="0"/>
        <w:ind w:left="360"/>
      </w:pPr>
      <w:r w:rsidRPr="00B8084A">
        <w:rPr>
          <w:rFonts w:cstheme="minorHAnsi"/>
          <w:color w:val="000000"/>
        </w:rPr>
        <w:t xml:space="preserve">Energielenkung: Aufgrund von § 15 Energielenkungsgesetz 2012 </w:t>
      </w:r>
      <w:r w:rsidR="0000091E">
        <w:t xml:space="preserve">erlassenen </w:t>
      </w:r>
      <w:bookmarkStart w:id="102" w:name="_Hlk506311423"/>
      <w:r w:rsidR="00613A14">
        <w:fldChar w:fldCharType="begin"/>
      </w:r>
      <w:r w:rsidR="00A31B2A">
        <w:instrText>HYPERLINK "https://www.e-control.at/recht/bundesrecht/strom/verordnungen" \l "p_p_id_com_liferay_journal_content_web_portlet_JournalContentPortlet_INSTANCE_10309A20133_"</w:instrText>
      </w:r>
      <w:r w:rsidR="00613A14">
        <w:fldChar w:fldCharType="separate"/>
      </w:r>
      <w:r w:rsidR="0000091E" w:rsidRPr="00C545DF">
        <w:rPr>
          <w:rStyle w:val="Hyperlink"/>
        </w:rPr>
        <w:t xml:space="preserve">Elektrizitäts-Energielenkungsdaten-Verordnung </w:t>
      </w:r>
      <w:r w:rsidR="003E6A68" w:rsidRPr="00C545DF">
        <w:rPr>
          <w:rStyle w:val="Hyperlink"/>
        </w:rPr>
        <w:t>201</w:t>
      </w:r>
      <w:r w:rsidR="00403FC0" w:rsidRPr="00C545DF">
        <w:rPr>
          <w:rStyle w:val="Hyperlink"/>
        </w:rPr>
        <w:t>7</w:t>
      </w:r>
      <w:r w:rsidR="00613A14">
        <w:rPr>
          <w:rStyle w:val="Hyperlink"/>
        </w:rPr>
        <w:fldChar w:fldCharType="end"/>
      </w:r>
      <w:r w:rsidR="00403FC0">
        <w:t xml:space="preserve"> (E-</w:t>
      </w:r>
      <w:proofErr w:type="spellStart"/>
      <w:r>
        <w:t>EnLD</w:t>
      </w:r>
      <w:proofErr w:type="spellEnd"/>
      <w:r w:rsidR="003E6A68">
        <w:t>-VO 201</w:t>
      </w:r>
      <w:r w:rsidR="00403FC0">
        <w:t>7)</w:t>
      </w:r>
      <w:r w:rsidR="006447CB">
        <w:t>, BGBl. II Nr. 415/20</w:t>
      </w:r>
      <w:r w:rsidR="0001576B">
        <w:t>6</w:t>
      </w:r>
      <w:r w:rsidR="006447CB">
        <w:t>7</w:t>
      </w:r>
      <w:r w:rsidR="00077F7C">
        <w:t xml:space="preserve"> </w:t>
      </w:r>
      <w:r w:rsidR="00403FC0">
        <w:t xml:space="preserve">samt </w:t>
      </w:r>
      <w:r w:rsidR="00A32332">
        <w:t>Erläuterungen</w:t>
      </w:r>
      <w:r w:rsidR="00077F7C">
        <w:br/>
      </w:r>
      <w:bookmarkEnd w:id="102"/>
    </w:p>
    <w:p w14:paraId="3BD9C3E5" w14:textId="77777777" w:rsidR="0000091E" w:rsidRDefault="0000091E" w:rsidP="0000091E">
      <w:pPr>
        <w:autoSpaceDE w:val="0"/>
        <w:autoSpaceDN w:val="0"/>
        <w:adjustRightInd w:val="0"/>
      </w:pPr>
      <w:r>
        <w:rPr>
          <w:b/>
        </w:rPr>
        <w:t>Kurzbeschreibung</w:t>
      </w:r>
    </w:p>
    <w:p w14:paraId="2C3D0DA5" w14:textId="20E9E408" w:rsidR="0000091E" w:rsidRDefault="0000091E" w:rsidP="0000091E">
      <w:pPr>
        <w:rPr>
          <w:rFonts w:cstheme="minorHAnsi"/>
        </w:rPr>
      </w:pPr>
      <w:r>
        <w:t>Gegenüber der Regulierungsbehörde</w:t>
      </w:r>
      <w:r w:rsidR="009967DA">
        <w:t xml:space="preserve"> </w:t>
      </w:r>
      <w:r>
        <w:t>bestehen Meldepflichten für Strom</w:t>
      </w:r>
      <w:r w:rsidRPr="005F442B">
        <w:t>händler,</w:t>
      </w:r>
      <w:r>
        <w:t xml:space="preserve"> Lieferanten von Endkunden bzw. für </w:t>
      </w:r>
      <w:r w:rsidRPr="005F4C89">
        <w:rPr>
          <w:rFonts w:cstheme="minorHAnsi"/>
        </w:rPr>
        <w:t>Bil</w:t>
      </w:r>
      <w:r>
        <w:rPr>
          <w:rFonts w:cstheme="minorHAnsi"/>
        </w:rPr>
        <w:t>anzgruppenverantwortliche zur Erfüllung unterschiedlicher Zwecke.</w:t>
      </w:r>
      <w:r w:rsidRPr="005F4C89">
        <w:rPr>
          <w:rFonts w:cstheme="minorHAnsi"/>
        </w:rPr>
        <w:t xml:space="preserve"> </w:t>
      </w:r>
      <w:r>
        <w:rPr>
          <w:rFonts w:cstheme="minorHAnsi"/>
        </w:rPr>
        <w:t xml:space="preserve">Grundsätzlich </w:t>
      </w:r>
      <w:r w:rsidR="00403FC0">
        <w:rPr>
          <w:rFonts w:cstheme="minorHAnsi"/>
        </w:rPr>
        <w:t>haben S</w:t>
      </w:r>
      <w:r>
        <w:rPr>
          <w:rFonts w:cstheme="minorHAnsi"/>
        </w:rPr>
        <w:t xml:space="preserve">ie als </w:t>
      </w:r>
      <w:r w:rsidR="009967DA">
        <w:rPr>
          <w:rFonts w:cstheme="minorHAnsi"/>
        </w:rPr>
        <w:t>m</w:t>
      </w:r>
      <w:r w:rsidR="009967DA" w:rsidRPr="005F4C89">
        <w:rPr>
          <w:rFonts w:cstheme="minorHAnsi"/>
        </w:rPr>
        <w:t>eldepflichtige</w:t>
      </w:r>
      <w:r w:rsidR="009967DA">
        <w:rPr>
          <w:rFonts w:cstheme="minorHAnsi"/>
        </w:rPr>
        <w:t>s Unternehmen</w:t>
      </w:r>
      <w:r>
        <w:rPr>
          <w:rFonts w:cstheme="minorHAnsi"/>
        </w:rPr>
        <w:t xml:space="preserve"> h</w:t>
      </w:r>
      <w:r w:rsidRPr="005F4C89">
        <w:rPr>
          <w:rFonts w:cstheme="minorHAnsi"/>
        </w:rPr>
        <w:t xml:space="preserve">insichtlich </w:t>
      </w:r>
      <w:r>
        <w:rPr>
          <w:rFonts w:cstheme="minorHAnsi"/>
        </w:rPr>
        <w:t>Ihrer</w:t>
      </w:r>
      <w:r w:rsidRPr="005F4C89">
        <w:rPr>
          <w:rFonts w:cstheme="minorHAnsi"/>
        </w:rPr>
        <w:t xml:space="preserve"> Meldepflicht immer </w:t>
      </w:r>
      <w:r w:rsidRPr="005F4C89">
        <w:rPr>
          <w:rFonts w:cstheme="minorHAnsi"/>
          <w:u w:val="single"/>
        </w:rPr>
        <w:t>selbst aktiv</w:t>
      </w:r>
      <w:r w:rsidRPr="005F4C89">
        <w:rPr>
          <w:rFonts w:cstheme="minorHAnsi"/>
        </w:rPr>
        <w:t xml:space="preserve"> zu werden.</w:t>
      </w:r>
    </w:p>
    <w:p w14:paraId="3D414A88" w14:textId="77777777" w:rsidR="009C4BB6" w:rsidRPr="005F4C89" w:rsidRDefault="009C4BB6" w:rsidP="0000091E">
      <w:pPr>
        <w:rPr>
          <w:rFonts w:cstheme="minorHAnsi"/>
        </w:rPr>
      </w:pPr>
    </w:p>
    <w:p w14:paraId="0CD52A36" w14:textId="4632812B" w:rsidR="0000091E" w:rsidRDefault="009C4BB6" w:rsidP="0000091E">
      <w:r w:rsidRPr="009C4BB6">
        <w:t xml:space="preserve">Im Regelfall tritt zu Beginn eines neuen Erhebungsjahres die </w:t>
      </w:r>
      <w:r w:rsidR="0000091E">
        <w:t xml:space="preserve">Regulierungsbehörde </w:t>
      </w:r>
      <w:r w:rsidRPr="009C4BB6">
        <w:t>an</w:t>
      </w:r>
      <w:r w:rsidR="0000091E" w:rsidRPr="002530C0">
        <w:t xml:space="preserve"> </w:t>
      </w:r>
      <w:r w:rsidR="009967DA">
        <w:t xml:space="preserve">die </w:t>
      </w:r>
      <w:r w:rsidR="0000091E" w:rsidRPr="002530C0">
        <w:t xml:space="preserve">am österreichischen </w:t>
      </w:r>
      <w:r w:rsidR="0000091E">
        <w:t>Strom</w:t>
      </w:r>
      <w:r w:rsidR="0000091E" w:rsidRPr="002530C0">
        <w:t>markt registrierte</w:t>
      </w:r>
      <w:r w:rsidR="009321F2">
        <w:t>n</w:t>
      </w:r>
      <w:r w:rsidR="0000091E" w:rsidRPr="002530C0">
        <w:t xml:space="preserve"> </w:t>
      </w:r>
      <w:r w:rsidR="0000091E">
        <w:t>Strom</w:t>
      </w:r>
      <w:r w:rsidR="0000091E" w:rsidRPr="002530C0">
        <w:t xml:space="preserve">unternehmen, insbesondere </w:t>
      </w:r>
      <w:r w:rsidR="0000091E">
        <w:t>Strom</w:t>
      </w:r>
      <w:r w:rsidR="0000091E" w:rsidRPr="002530C0">
        <w:t>händler</w:t>
      </w:r>
      <w:r w:rsidR="0000091E">
        <w:t>, Stromlieferanten</w:t>
      </w:r>
      <w:r w:rsidR="0000091E" w:rsidRPr="002530C0">
        <w:t xml:space="preserve"> bzw. Bilanzgruppenverantwortliche, bezüglich </w:t>
      </w:r>
      <w:r w:rsidR="009321F2">
        <w:t>ihr</w:t>
      </w:r>
      <w:r w:rsidR="00403FC0">
        <w:t>er</w:t>
      </w:r>
      <w:r w:rsidR="0000091E" w:rsidRPr="002530C0">
        <w:t xml:space="preserve"> jeweiligen </w:t>
      </w:r>
      <w:r>
        <w:t xml:space="preserve">(möglichen) </w:t>
      </w:r>
      <w:r w:rsidR="0000091E" w:rsidRPr="002530C0">
        <w:t>Meldepflichten</w:t>
      </w:r>
      <w:r>
        <w:t xml:space="preserve"> heran und fordert zur Datenmeldung auf</w:t>
      </w:r>
      <w:r w:rsidR="0000091E">
        <w:t>.</w:t>
      </w:r>
      <w:r w:rsidR="0000091E" w:rsidRPr="002530C0">
        <w:t xml:space="preserve"> </w:t>
      </w:r>
      <w:r w:rsidRPr="009C4BB6">
        <w:t xml:space="preserve">Unternehmen, die zu diesem Zeitpunkt </w:t>
      </w:r>
      <w:r w:rsidR="00403FC0">
        <w:t xml:space="preserve">– </w:t>
      </w:r>
      <w:r w:rsidRPr="009C4BB6">
        <w:t xml:space="preserve">etwa aufgrund ruhender Aktivitäten </w:t>
      </w:r>
      <w:r w:rsidR="00403FC0">
        <w:t xml:space="preserve">– </w:t>
      </w:r>
      <w:r w:rsidRPr="009C4BB6">
        <w:t xml:space="preserve">nicht meldepflichtig sind, aber später aktiv werden, müssen </w:t>
      </w:r>
      <w:r>
        <w:t>Ihre</w:t>
      </w:r>
      <w:r w:rsidRPr="009C4BB6">
        <w:t xml:space="preserve"> Datenmeldungen gegenüber der Regulierungsbehörde selbstständig ab dem Zeitpunkt des "Aktiv-Werdens" aufnehmen.</w:t>
      </w:r>
      <w:r>
        <w:t xml:space="preserve"> </w:t>
      </w:r>
    </w:p>
    <w:p w14:paraId="68C1152F" w14:textId="77777777" w:rsidR="0000091E" w:rsidRDefault="0000091E" w:rsidP="0000091E"/>
    <w:p w14:paraId="5256956C" w14:textId="0A040D41" w:rsidR="0000091E" w:rsidRDefault="0000091E" w:rsidP="00744141">
      <w:pPr>
        <w:keepNext/>
        <w:autoSpaceDE w:val="0"/>
        <w:autoSpaceDN w:val="0"/>
        <w:adjustRightInd w:val="0"/>
        <w:rPr>
          <w:b/>
        </w:rPr>
      </w:pPr>
      <w:r w:rsidRPr="003F695E">
        <w:rPr>
          <w:b/>
        </w:rPr>
        <w:lastRenderedPageBreak/>
        <w:t>Handlungsanweisung</w:t>
      </w:r>
    </w:p>
    <w:p w14:paraId="0D0F8326" w14:textId="00EE256F" w:rsidR="0000091E" w:rsidRDefault="00024E71" w:rsidP="00744141">
      <w:pPr>
        <w:keepNext/>
      </w:pPr>
      <w:r>
        <w:t>Nach der Registrierung und Zulassung am österreichischen Markt</w:t>
      </w:r>
      <w:r w:rsidR="0007300E">
        <w:t xml:space="preserve"> </w:t>
      </w:r>
      <w:r w:rsidR="00A71ED1">
        <w:t xml:space="preserve">wird Ihr Unternehmen </w:t>
      </w:r>
      <w:r w:rsidR="009967DA">
        <w:t xml:space="preserve">im Regelfall </w:t>
      </w:r>
      <w:r w:rsidR="00A71ED1">
        <w:t>von der</w:t>
      </w:r>
      <w:r w:rsidR="0007300E">
        <w:t xml:space="preserve"> Regulierungsbehörde zur konkreten Datenmeldung auf</w:t>
      </w:r>
      <w:r w:rsidR="00A71ED1">
        <w:t>gefordert</w:t>
      </w:r>
      <w:r w:rsidR="0007300E">
        <w:t xml:space="preserve">. </w:t>
      </w:r>
      <w:r w:rsidR="0000091E">
        <w:t xml:space="preserve">Die entsprechenden Erhebungsbögen der Regulierungsbehörde finden Sie </w:t>
      </w:r>
      <w:r w:rsidR="0007300E">
        <w:t xml:space="preserve">auf der </w:t>
      </w:r>
      <w:r w:rsidR="0000091E">
        <w:t xml:space="preserve">Website unter </w:t>
      </w:r>
      <w:hyperlink r:id="rId143" w:history="1">
        <w:r w:rsidR="009967DA" w:rsidRPr="0088611D">
          <w:rPr>
            <w:rStyle w:val="Hyperlink"/>
          </w:rPr>
          <w:t>Erhebungen</w:t>
        </w:r>
        <w:r w:rsidR="009967DA">
          <w:rPr>
            <w:rStyle w:val="Hyperlink"/>
          </w:rPr>
          <w:t xml:space="preserve"> </w:t>
        </w:r>
        <w:r w:rsidR="008D51BA">
          <w:rPr>
            <w:rStyle w:val="Hyperlink"/>
          </w:rPr>
          <w:t xml:space="preserve">im Elektrizitätsbereich für Lieferanten </w:t>
        </w:r>
        <w:r w:rsidR="009967DA">
          <w:rPr>
            <w:rStyle w:val="Hyperlink"/>
          </w:rPr>
          <w:t>(Formular)</w:t>
        </w:r>
        <w:r w:rsidR="009967DA" w:rsidRPr="0088611D">
          <w:rPr>
            <w:rStyle w:val="Hyperlink"/>
          </w:rPr>
          <w:t>.</w:t>
        </w:r>
      </w:hyperlink>
      <w:r w:rsidR="009967DA" w:rsidDel="009967DA">
        <w:t xml:space="preserve"> </w:t>
      </w:r>
    </w:p>
    <w:p w14:paraId="467AF88C" w14:textId="77777777" w:rsidR="009967DA" w:rsidRDefault="009967DA" w:rsidP="00744141">
      <w:pPr>
        <w:keepNext/>
      </w:pPr>
    </w:p>
    <w:p w14:paraId="2CC2BFD6" w14:textId="4B1EB2A5" w:rsidR="009967DA" w:rsidRDefault="009967DA" w:rsidP="009967DA">
      <w:r>
        <w:t xml:space="preserve">Angemerkt wird, dass mit der Änderung des § 88 Abs. 2 </w:t>
      </w:r>
      <w:proofErr w:type="spellStart"/>
      <w:r>
        <w:t>ElWOG</w:t>
      </w:r>
      <w:proofErr w:type="spellEnd"/>
      <w:r>
        <w:t xml:space="preserve"> </w:t>
      </w:r>
      <w:r w:rsidR="00B32E6B">
        <w:t>seit</w:t>
      </w:r>
      <w:r>
        <w:t xml:space="preserve"> dem Berichtsjahr 2017 keine Meldepflicht mehr gegenüber den Landesregierungen besteht.</w:t>
      </w:r>
      <w:r w:rsidRPr="008B090C">
        <w:t xml:space="preserve"> Ihre Daten werden von der E-Control als Teil eines Berichts oder ggf. gesondert an die zuständige(n) Landesregierung(en) übermittelt.</w:t>
      </w:r>
    </w:p>
    <w:p w14:paraId="73A0C400" w14:textId="77777777" w:rsidR="00FD03D1" w:rsidRDefault="00FD03D1" w:rsidP="009967DA"/>
    <w:p w14:paraId="2726EE20" w14:textId="6CD66731" w:rsidR="0000091E" w:rsidRDefault="009967DA" w:rsidP="009967DA">
      <w:r>
        <w:t>Es wird</w:t>
      </w:r>
      <w:r w:rsidRPr="008B090C">
        <w:t xml:space="preserve"> ausdrücklich darauf </w:t>
      </w:r>
      <w:r>
        <w:t>hingewiesen</w:t>
      </w:r>
      <w:r w:rsidRPr="008B090C">
        <w:t xml:space="preserve">, dass </w:t>
      </w:r>
      <w:r>
        <w:t>die</w:t>
      </w:r>
      <w:r w:rsidRPr="008B090C">
        <w:t xml:space="preserve"> Formular</w:t>
      </w:r>
      <w:r>
        <w:t>e</w:t>
      </w:r>
      <w:r w:rsidRPr="008B090C">
        <w:t xml:space="preserve"> sowohl die Erhebungen im Rahmen der Elektrizitätsstatistik, der Energielenkung wie auch des Monitoring</w:t>
      </w:r>
      <w:r>
        <w:t>s</w:t>
      </w:r>
      <w:r w:rsidRPr="008B090C">
        <w:t xml:space="preserve"> umfass</w:t>
      </w:r>
      <w:r>
        <w:t>en, wodurch Daten nur einmal und nicht getrennt je Erhebungszweck gemeldet werden müssen</w:t>
      </w:r>
      <w:r w:rsidRPr="008B090C">
        <w:t>.</w:t>
      </w:r>
    </w:p>
    <w:p w14:paraId="1B89F744" w14:textId="77777777" w:rsidR="0000091E" w:rsidRDefault="0000091E" w:rsidP="0000091E"/>
    <w:tbl>
      <w:tblPr>
        <w:tblW w:w="0" w:type="auto"/>
        <w:tblInd w:w="55" w:type="dxa"/>
        <w:tblCellMar>
          <w:left w:w="70" w:type="dxa"/>
          <w:right w:w="70" w:type="dxa"/>
        </w:tblCellMar>
        <w:tblLook w:val="04A0" w:firstRow="1" w:lastRow="0" w:firstColumn="1" w:lastColumn="0" w:noHBand="0" w:noVBand="1"/>
      </w:tblPr>
      <w:tblGrid>
        <w:gridCol w:w="9507"/>
      </w:tblGrid>
      <w:tr w:rsidR="002B40C4" w:rsidRPr="009D6189" w14:paraId="1FB1BDDE" w14:textId="77777777" w:rsidTr="00E808A8">
        <w:trPr>
          <w:trHeight w:val="255"/>
        </w:trPr>
        <w:tc>
          <w:tcPr>
            <w:tcW w:w="0" w:type="auto"/>
            <w:tcBorders>
              <w:top w:val="nil"/>
              <w:left w:val="nil"/>
              <w:bottom w:val="nil"/>
              <w:right w:val="nil"/>
            </w:tcBorders>
            <w:shd w:val="clear" w:color="000000" w:fill="95B3D7"/>
            <w:noWrap/>
            <w:vAlign w:val="center"/>
            <w:hideMark/>
          </w:tcPr>
          <w:p w14:paraId="16DFB865" w14:textId="77777777" w:rsidR="002B40C4" w:rsidRPr="009D6189" w:rsidRDefault="002B40C4" w:rsidP="00E808A8">
            <w:pPr>
              <w:pStyle w:val="Listenabsatz"/>
              <w:spacing w:line="276" w:lineRule="auto"/>
              <w:ind w:left="0"/>
              <w:rPr>
                <w:b/>
              </w:rPr>
            </w:pPr>
            <w:r w:rsidRPr="009D6189">
              <w:rPr>
                <w:b/>
              </w:rPr>
              <w:t>Checkliste – Meldepflichten</w:t>
            </w:r>
          </w:p>
        </w:tc>
      </w:tr>
      <w:tr w:rsidR="009C6C23" w:rsidRPr="00A739A7" w14:paraId="6DA0B3BA" w14:textId="77777777" w:rsidTr="00955CF5">
        <w:trPr>
          <w:trHeight w:val="255"/>
        </w:trPr>
        <w:tc>
          <w:tcPr>
            <w:tcW w:w="0" w:type="auto"/>
            <w:tcBorders>
              <w:top w:val="single" w:sz="4" w:space="0" w:color="FFFFFF"/>
              <w:left w:val="single" w:sz="4" w:space="0" w:color="FFFFFF"/>
              <w:bottom w:val="single" w:sz="4" w:space="0" w:color="FFFFFF"/>
              <w:right w:val="single" w:sz="4" w:space="0" w:color="FFFFFF"/>
            </w:tcBorders>
            <w:shd w:val="clear" w:color="000000" w:fill="BDD1E7"/>
            <w:vAlign w:val="center"/>
          </w:tcPr>
          <w:p w14:paraId="00CDAE34" w14:textId="77777777" w:rsidR="009C6C23" w:rsidRDefault="009C6C23" w:rsidP="00E808A8">
            <w:pPr>
              <w:pStyle w:val="Listenabsatz"/>
              <w:spacing w:line="276" w:lineRule="auto"/>
            </w:pPr>
            <w:r>
              <w:t xml:space="preserve">Abwarten bis </w:t>
            </w:r>
            <w:r w:rsidR="004F7389">
              <w:t xml:space="preserve">die </w:t>
            </w:r>
            <w:r>
              <w:t>Reg</w:t>
            </w:r>
            <w:r w:rsidR="004F7389">
              <w:t>ul</w:t>
            </w:r>
            <w:r>
              <w:t>ierungsbehörde die konkrete Meldeaufforderung übermittelt</w:t>
            </w:r>
          </w:p>
        </w:tc>
      </w:tr>
      <w:tr w:rsidR="002B40C4" w:rsidRPr="00A739A7" w14:paraId="4CF7182F" w14:textId="77777777" w:rsidTr="00955CF5">
        <w:trPr>
          <w:trHeight w:val="255"/>
        </w:trPr>
        <w:tc>
          <w:tcPr>
            <w:tcW w:w="0" w:type="auto"/>
            <w:tcBorders>
              <w:top w:val="single" w:sz="4" w:space="0" w:color="FFFFFF"/>
              <w:left w:val="single" w:sz="4" w:space="0" w:color="FFFFFF"/>
              <w:bottom w:val="single" w:sz="4" w:space="0" w:color="FFFFFF"/>
              <w:right w:val="single" w:sz="4" w:space="0" w:color="FFFFFF"/>
            </w:tcBorders>
            <w:shd w:val="clear" w:color="000000" w:fill="DBE5F1" w:themeFill="accent1" w:themeFillTint="33"/>
            <w:vAlign w:val="center"/>
          </w:tcPr>
          <w:p w14:paraId="491BDCEC" w14:textId="77777777" w:rsidR="002B40C4" w:rsidRDefault="00403FC0" w:rsidP="00C545DF">
            <w:pPr>
              <w:pStyle w:val="Listenabsatz"/>
              <w:spacing w:line="276" w:lineRule="auto"/>
            </w:pPr>
            <w:r>
              <w:t>Falls Tätigkeit unterjährig begonnen:</w:t>
            </w:r>
            <w:r w:rsidR="002B40C4">
              <w:t xml:space="preserve"> aktive Wahrnehmung der Meldeverpflichtung gegenüber Regulierungsbehörde</w:t>
            </w:r>
          </w:p>
        </w:tc>
      </w:tr>
    </w:tbl>
    <w:p w14:paraId="2BA526A7" w14:textId="77777777" w:rsidR="0000091E" w:rsidRDefault="0000091E" w:rsidP="0000091E">
      <w:pPr>
        <w:rPr>
          <w:b/>
        </w:rPr>
      </w:pPr>
    </w:p>
    <w:p w14:paraId="79C89E9E" w14:textId="77777777" w:rsidR="0000091E" w:rsidRDefault="0000091E" w:rsidP="00A608D1">
      <w:pPr>
        <w:keepNext/>
      </w:pPr>
      <w:r>
        <w:rPr>
          <w:b/>
        </w:rPr>
        <w:t>Hinweise und Tipps</w:t>
      </w:r>
      <w:r>
        <w:t xml:space="preserve"> </w:t>
      </w:r>
    </w:p>
    <w:p w14:paraId="207A1E51" w14:textId="74F808DA" w:rsidR="0000091E" w:rsidRDefault="0000091E" w:rsidP="00A608D1">
      <w:pPr>
        <w:keepNext/>
      </w:pPr>
      <w:r>
        <w:t xml:space="preserve">Der Zeitaufwand zur Erfüllung Ihrer Meldepflichten </w:t>
      </w:r>
      <w:r w:rsidR="00403FC0">
        <w:t xml:space="preserve">variiert deutlich </w:t>
      </w:r>
      <w:r>
        <w:t>je nach Geschäftstätigkeit</w:t>
      </w:r>
      <w:r w:rsidR="009967DA">
        <w:t>(en)</w:t>
      </w:r>
      <w:r>
        <w:t xml:space="preserve"> Ihres Unternehmens bzw. Ausmaß der Sie betreffenden Erhebungen sowie dem Automatisierungsgrad</w:t>
      </w:r>
      <w:r w:rsidR="009967DA">
        <w:t xml:space="preserve"> </w:t>
      </w:r>
      <w:r w:rsidR="00990ADE">
        <w:t>in Ihrem Unternehmen.</w:t>
      </w:r>
    </w:p>
    <w:p w14:paraId="07E9DA47" w14:textId="77777777" w:rsidR="00501884" w:rsidRDefault="00501884">
      <w:pPr>
        <w:spacing w:line="240" w:lineRule="auto"/>
        <w:rPr>
          <w:b/>
          <w:noProof/>
          <w:sz w:val="24"/>
          <w:szCs w:val="20"/>
          <w:lang w:val="de-DE"/>
        </w:rPr>
      </w:pPr>
      <w:bookmarkStart w:id="103" w:name="_Toc379201272"/>
    </w:p>
    <w:p w14:paraId="316788E5" w14:textId="77777777" w:rsidR="0000091E" w:rsidRDefault="0000091E" w:rsidP="00744141">
      <w:pPr>
        <w:pStyle w:val="berschrift2"/>
        <w:keepNext/>
        <w:keepLines/>
        <w:widowControl/>
        <w:numPr>
          <w:ilvl w:val="0"/>
          <w:numId w:val="24"/>
        </w:numPr>
        <w:overflowPunct/>
        <w:autoSpaceDE/>
        <w:autoSpaceDN/>
        <w:adjustRightInd/>
        <w:spacing w:before="200" w:after="0" w:line="480" w:lineRule="auto"/>
        <w:jc w:val="left"/>
        <w:textAlignment w:val="auto"/>
      </w:pPr>
      <w:bookmarkStart w:id="104" w:name="_Toc31376462"/>
      <w:r>
        <w:t>Verpflichtungen gemäß REMIT</w:t>
      </w:r>
      <w:bookmarkEnd w:id="103"/>
      <w:bookmarkEnd w:id="104"/>
    </w:p>
    <w:p w14:paraId="1E593DF7" w14:textId="195C01A2" w:rsidR="00FD03D1" w:rsidRDefault="0000091E" w:rsidP="00744141">
      <w:pPr>
        <w:pStyle w:val="Listenabsatz"/>
        <w:keepNext/>
        <w:ind w:left="0"/>
      </w:pPr>
      <w:r>
        <w:rPr>
          <w:b/>
        </w:rPr>
        <w:t>Rechtliche</w:t>
      </w:r>
      <w:r w:rsidRPr="00990F5D">
        <w:rPr>
          <w:b/>
        </w:rPr>
        <w:t xml:space="preserve"> Grundlagen</w:t>
      </w:r>
      <w:r>
        <w:rPr>
          <w:b/>
        </w:rPr>
        <w:t xml:space="preserve"> </w:t>
      </w:r>
    </w:p>
    <w:p w14:paraId="4F87F66A" w14:textId="77777777" w:rsidR="00F26E1C" w:rsidRDefault="00F26E1C" w:rsidP="00F26E1C">
      <w:pPr>
        <w:pStyle w:val="Listenabsatz"/>
        <w:keepNext/>
        <w:ind w:left="0"/>
        <w:rPr>
          <w:rStyle w:val="Hyperlink"/>
        </w:rPr>
      </w:pPr>
      <w:bookmarkStart w:id="105" w:name="_Hlk509514989"/>
      <w:r w:rsidRPr="00484E78">
        <w:t>V</w:t>
      </w:r>
      <w:r>
        <w:t>O</w:t>
      </w:r>
      <w:r w:rsidRPr="00484E78">
        <w:t xml:space="preserve">(EU) 1227/2011 des Europäischen Parlaments und des Rates vom 25. Oktober 2011 über die Integrität und Transparenz des Energiegroßhandelsmarkts </w:t>
      </w:r>
      <w:r>
        <w:t>(</w:t>
      </w:r>
      <w:hyperlink r:id="rId144" w:history="1">
        <w:r w:rsidRPr="00F23AE7">
          <w:rPr>
            <w:rStyle w:val="Hyperlink"/>
          </w:rPr>
          <w:t>REMIT</w:t>
        </w:r>
      </w:hyperlink>
      <w:r>
        <w:t>)</w:t>
      </w:r>
    </w:p>
    <w:p w14:paraId="2E050E23" w14:textId="77777777" w:rsidR="00F26E1C" w:rsidRDefault="00F26E1C" w:rsidP="00F26E1C">
      <w:pPr>
        <w:ind w:left="709"/>
      </w:pPr>
      <w:r>
        <w:t xml:space="preserve">Art 4 </w:t>
      </w:r>
      <w:r w:rsidRPr="00A47270">
        <w:t>REMIT</w:t>
      </w:r>
    </w:p>
    <w:p w14:paraId="12FC0F16" w14:textId="77777777" w:rsidR="00F26E1C" w:rsidRDefault="00F26E1C" w:rsidP="00F26E1C">
      <w:pPr>
        <w:ind w:left="709"/>
      </w:pPr>
      <w:r>
        <w:t xml:space="preserve">Art </w:t>
      </w:r>
      <w:r w:rsidRPr="00B5694F">
        <w:t xml:space="preserve">8 </w:t>
      </w:r>
      <w:r>
        <w:t>Abs</w:t>
      </w:r>
      <w:r w:rsidRPr="00B5694F">
        <w:t xml:space="preserve">1 </w:t>
      </w:r>
      <w:r w:rsidRPr="00A47270">
        <w:t>REMIT</w:t>
      </w:r>
    </w:p>
    <w:p w14:paraId="6ADB8593" w14:textId="77777777" w:rsidR="00F26E1C" w:rsidRDefault="00F26E1C" w:rsidP="00F26E1C">
      <w:pPr>
        <w:ind w:left="709"/>
        <w:rPr>
          <w:lang w:val="de-DE"/>
        </w:rPr>
      </w:pPr>
      <w:r>
        <w:t xml:space="preserve">Art 9 Abs1 </w:t>
      </w:r>
      <w:r w:rsidRPr="00A47270">
        <w:t>REMIT</w:t>
      </w:r>
    </w:p>
    <w:p w14:paraId="02A0364B" w14:textId="77777777" w:rsidR="00F26E1C" w:rsidRDefault="00F26E1C" w:rsidP="00F26E1C">
      <w:pPr>
        <w:rPr>
          <w:lang w:val="de-DE"/>
        </w:rPr>
      </w:pPr>
      <w:proofErr w:type="spellStart"/>
      <w:r>
        <w:rPr>
          <w:lang w:val="de-DE"/>
        </w:rPr>
        <w:t>DurchführungsVO</w:t>
      </w:r>
      <w:proofErr w:type="spellEnd"/>
      <w:r>
        <w:rPr>
          <w:lang w:val="de-DE"/>
        </w:rPr>
        <w:t xml:space="preserve"> (EU) 1348/2014 der Kommission vom 17. Dezember 2014 über die Datenmeldung gemäß Art 8 Abs 2 und 6 der VO (EU) 1227/2011 des Europäischen Parlaments und des Rates über die Integrität und Transparenz des Energiegroßhandels (</w:t>
      </w:r>
      <w:hyperlink r:id="rId145" w:history="1">
        <w:r w:rsidRPr="00AA53CC">
          <w:rPr>
            <w:rStyle w:val="Hyperlink"/>
            <w:lang w:val="de-DE"/>
          </w:rPr>
          <w:t>REMIT-DV</w:t>
        </w:r>
      </w:hyperlink>
      <w:r>
        <w:rPr>
          <w:rStyle w:val="Hyperlink"/>
          <w:lang w:val="de-DE"/>
        </w:rPr>
        <w:t>O</w:t>
      </w:r>
      <w:r>
        <w:rPr>
          <w:lang w:val="de-DE"/>
        </w:rPr>
        <w:t>)</w:t>
      </w:r>
    </w:p>
    <w:p w14:paraId="574F7F49" w14:textId="77777777" w:rsidR="00F26E1C" w:rsidRPr="0002155A" w:rsidRDefault="00F26E1C" w:rsidP="00F26E1C">
      <w:pPr>
        <w:rPr>
          <w:lang w:val="en-US"/>
        </w:rPr>
      </w:pPr>
      <w:hyperlink r:id="rId146" w:history="1">
        <w:r w:rsidRPr="0002155A">
          <w:rPr>
            <w:rStyle w:val="Hyperlink"/>
            <w:lang w:val="en-US"/>
          </w:rPr>
          <w:t xml:space="preserve">§ 10a </w:t>
        </w:r>
        <w:proofErr w:type="spellStart"/>
        <w:r w:rsidRPr="0002155A">
          <w:rPr>
            <w:rStyle w:val="Hyperlink"/>
            <w:lang w:val="en-US"/>
          </w:rPr>
          <w:t>ElWOG</w:t>
        </w:r>
        <w:proofErr w:type="spellEnd"/>
        <w:r w:rsidRPr="0002155A">
          <w:rPr>
            <w:rStyle w:val="Hyperlink"/>
            <w:lang w:val="en-US"/>
          </w:rPr>
          <w:t xml:space="preserve"> 2010</w:t>
        </w:r>
      </w:hyperlink>
    </w:p>
    <w:p w14:paraId="1FD2FB86" w14:textId="77777777" w:rsidR="00F26E1C" w:rsidRPr="00C545DF" w:rsidRDefault="00F26E1C" w:rsidP="00F26E1C">
      <w:pPr>
        <w:rPr>
          <w:lang w:val="en-US"/>
        </w:rPr>
      </w:pPr>
      <w:hyperlink r:id="rId147" w:history="1">
        <w:r w:rsidRPr="00C545DF">
          <w:rPr>
            <w:rStyle w:val="Hyperlink"/>
            <w:lang w:val="en-US"/>
          </w:rPr>
          <w:t>§ 25a Abs. 2 E-</w:t>
        </w:r>
        <w:proofErr w:type="spellStart"/>
        <w:r w:rsidRPr="00C545DF">
          <w:rPr>
            <w:rStyle w:val="Hyperlink"/>
            <w:lang w:val="en-US"/>
          </w:rPr>
          <w:t>ControlG</w:t>
        </w:r>
        <w:proofErr w:type="spellEnd"/>
      </w:hyperlink>
    </w:p>
    <w:p w14:paraId="7C0812A7" w14:textId="77777777" w:rsidR="00F26E1C" w:rsidRDefault="00F26E1C" w:rsidP="00F26E1C">
      <w:pPr>
        <w:rPr>
          <w:rStyle w:val="Hyperlink"/>
          <w:lang w:val="de-DE"/>
        </w:rPr>
      </w:pPr>
      <w:hyperlink r:id="rId148" w:history="1">
        <w:r>
          <w:rPr>
            <w:rStyle w:val="Hyperlink"/>
            <w:lang w:val="de-DE"/>
          </w:rPr>
          <w:t>G</w:t>
        </w:r>
        <w:r w:rsidRPr="00932C90">
          <w:rPr>
            <w:rStyle w:val="Hyperlink"/>
            <w:lang w:val="de-DE"/>
          </w:rPr>
          <w:t>roßhan</w:t>
        </w:r>
        <w:r>
          <w:rPr>
            <w:rStyle w:val="Hyperlink"/>
            <w:lang w:val="de-DE"/>
          </w:rPr>
          <w:t>delsdatenverordnung (</w:t>
        </w:r>
        <w:r w:rsidRPr="00932C90">
          <w:rPr>
            <w:rStyle w:val="Hyperlink"/>
            <w:lang w:val="de-DE"/>
          </w:rPr>
          <w:t>GHD-V</w:t>
        </w:r>
      </w:hyperlink>
      <w:r>
        <w:rPr>
          <w:lang w:val="de-DE"/>
        </w:rPr>
        <w:t>) und Erläuterungen</w:t>
      </w:r>
      <w:bookmarkEnd w:id="105"/>
    </w:p>
    <w:p w14:paraId="082AE000" w14:textId="77777777" w:rsidR="00514311" w:rsidRPr="00955CF5" w:rsidRDefault="00514311" w:rsidP="0000091E">
      <w:pPr>
        <w:rPr>
          <w:b/>
          <w:lang w:val="de-DE"/>
        </w:rPr>
      </w:pPr>
    </w:p>
    <w:p w14:paraId="6FE002EA" w14:textId="77777777" w:rsidR="0000091E" w:rsidRDefault="0000091E" w:rsidP="0000091E">
      <w:pPr>
        <w:rPr>
          <w:b/>
        </w:rPr>
      </w:pPr>
      <w:r w:rsidRPr="00990F5D">
        <w:rPr>
          <w:b/>
        </w:rPr>
        <w:t>Kurzbeschreibung</w:t>
      </w:r>
    </w:p>
    <w:p w14:paraId="7FDCBD92" w14:textId="77777777" w:rsidR="0000091E" w:rsidRDefault="0000091E" w:rsidP="0000091E">
      <w:r>
        <w:t xml:space="preserve">Als Markteilnehmer gemäß REMIT haben Sie während </w:t>
      </w:r>
      <w:r w:rsidR="00EB2502">
        <w:t>Ihr</w:t>
      </w:r>
      <w:r>
        <w:t>er Geschäftstätigkeit Melde- und Veröffentlichungspflichten einzuhalten. Im Wesentlichen handelt es sich hier um folgende Inhalte bzw. Tatbestände:</w:t>
      </w:r>
    </w:p>
    <w:p w14:paraId="52617FE7" w14:textId="41F9F54B" w:rsidR="00472EFA" w:rsidRPr="00D218BE" w:rsidRDefault="00472EFA" w:rsidP="00472EFA">
      <w:pPr>
        <w:pStyle w:val="Listenabsatz"/>
        <w:numPr>
          <w:ilvl w:val="0"/>
          <w:numId w:val="19"/>
        </w:numPr>
        <w:rPr>
          <w:color w:val="000000" w:themeColor="text1"/>
        </w:rPr>
      </w:pPr>
      <w:r>
        <w:t xml:space="preserve">Die Verpflichtung zur </w:t>
      </w:r>
      <w:r w:rsidRPr="00D218BE">
        <w:rPr>
          <w:color w:val="000000" w:themeColor="text1"/>
        </w:rPr>
        <w:t>Veröffentlichung von Insider-Informationen gemäß Art 4 REMIT;</w:t>
      </w:r>
    </w:p>
    <w:p w14:paraId="0174901F" w14:textId="2D4417C9" w:rsidR="00472EFA" w:rsidRPr="00D218BE" w:rsidRDefault="00472EFA" w:rsidP="00472EFA">
      <w:pPr>
        <w:pStyle w:val="Listenabsatz"/>
        <w:numPr>
          <w:ilvl w:val="0"/>
          <w:numId w:val="19"/>
        </w:numPr>
        <w:rPr>
          <w:color w:val="000000" w:themeColor="text1"/>
          <w:u w:val="single"/>
        </w:rPr>
      </w:pPr>
      <w:r w:rsidRPr="00D218BE">
        <w:rPr>
          <w:color w:val="000000" w:themeColor="text1"/>
        </w:rPr>
        <w:t>die Verpflichtung zur Meldung von Transaktionsdaten gemäß Art 8 REMIT;</w:t>
      </w:r>
    </w:p>
    <w:p w14:paraId="6FC9A883" w14:textId="4043A338" w:rsidR="00472EFA" w:rsidRPr="00D218BE" w:rsidRDefault="00472EFA" w:rsidP="00B27558">
      <w:pPr>
        <w:pStyle w:val="Listenabsatz"/>
        <w:numPr>
          <w:ilvl w:val="0"/>
          <w:numId w:val="19"/>
        </w:numPr>
        <w:rPr>
          <w:color w:val="000000" w:themeColor="text1"/>
          <w:u w:val="single"/>
        </w:rPr>
      </w:pPr>
      <w:r w:rsidRPr="00D218BE">
        <w:rPr>
          <w:color w:val="000000" w:themeColor="text1"/>
        </w:rPr>
        <w:t xml:space="preserve">die Verpflichtung zur Mitteilung von Insider-Information an die E-Control gemäß § 10a </w:t>
      </w:r>
      <w:proofErr w:type="spellStart"/>
      <w:r>
        <w:rPr>
          <w:color w:val="000000" w:themeColor="text1"/>
        </w:rPr>
        <w:t>ElWOG</w:t>
      </w:r>
      <w:proofErr w:type="spellEnd"/>
      <w:r w:rsidRPr="00D218BE">
        <w:rPr>
          <w:color w:val="000000" w:themeColor="text1"/>
        </w:rPr>
        <w:t xml:space="preserve"> 20</w:t>
      </w:r>
      <w:r>
        <w:rPr>
          <w:color w:val="000000" w:themeColor="text1"/>
        </w:rPr>
        <w:t>10</w:t>
      </w:r>
      <w:r w:rsidR="00B27558">
        <w:rPr>
          <w:color w:val="000000" w:themeColor="text1"/>
        </w:rPr>
        <w:t xml:space="preserve"> (</w:t>
      </w:r>
      <w:r w:rsidR="00614726">
        <w:rPr>
          <w:color w:val="000000" w:themeColor="text1"/>
        </w:rPr>
        <w:t>s</w:t>
      </w:r>
      <w:r w:rsidR="00B27558" w:rsidRPr="00B27558">
        <w:rPr>
          <w:color w:val="000000" w:themeColor="text1"/>
        </w:rPr>
        <w:t>ollte die Publikation der Insider-Information auf einer von ACE</w:t>
      </w:r>
      <w:r w:rsidR="00614726">
        <w:rPr>
          <w:color w:val="000000" w:themeColor="text1"/>
        </w:rPr>
        <w:t xml:space="preserve">R akzeptierten Plattform </w:t>
      </w:r>
      <w:r w:rsidR="0021005F">
        <w:rPr>
          <w:rFonts w:cs="Arial"/>
          <w:color w:val="000000" w:themeColor="text1"/>
        </w:rPr>
        <w:t>[</w:t>
      </w:r>
      <w:r w:rsidR="00614726">
        <w:rPr>
          <w:color w:val="000000" w:themeColor="text1"/>
        </w:rPr>
        <w:t xml:space="preserve">siehe </w:t>
      </w:r>
      <w:hyperlink r:id="rId149" w:history="1">
        <w:r w:rsidR="00614726">
          <w:rPr>
            <w:rStyle w:val="Hyperlink"/>
          </w:rPr>
          <w:t>ACER</w:t>
        </w:r>
      </w:hyperlink>
      <w:r w:rsidR="0021005F">
        <w:rPr>
          <w:color w:val="000000" w:themeColor="text1"/>
        </w:rPr>
        <w:t>]</w:t>
      </w:r>
      <w:r w:rsidR="00B27558" w:rsidRPr="00B27558">
        <w:rPr>
          <w:color w:val="000000" w:themeColor="text1"/>
        </w:rPr>
        <w:t xml:space="preserve"> erfolgen, so kann eine Übermittlung gemäß </w:t>
      </w:r>
      <w:r w:rsidR="00614726">
        <w:rPr>
          <w:color w:val="000000" w:themeColor="text1"/>
        </w:rPr>
        <w:t>§</w:t>
      </w:r>
      <w:r w:rsidR="0021005F">
        <w:rPr>
          <w:color w:val="000000" w:themeColor="text1"/>
        </w:rPr>
        <w:t xml:space="preserve"> </w:t>
      </w:r>
      <w:r w:rsidR="00614726">
        <w:rPr>
          <w:color w:val="000000" w:themeColor="text1"/>
        </w:rPr>
        <w:t xml:space="preserve">10a </w:t>
      </w:r>
      <w:proofErr w:type="spellStart"/>
      <w:r w:rsidR="00614726">
        <w:rPr>
          <w:color w:val="000000" w:themeColor="text1"/>
        </w:rPr>
        <w:t>ElWOG</w:t>
      </w:r>
      <w:proofErr w:type="spellEnd"/>
      <w:r w:rsidR="00614726">
        <w:rPr>
          <w:color w:val="000000" w:themeColor="text1"/>
        </w:rPr>
        <w:t xml:space="preserve"> </w:t>
      </w:r>
      <w:r w:rsidR="0021005F">
        <w:rPr>
          <w:color w:val="000000" w:themeColor="text1"/>
        </w:rPr>
        <w:t xml:space="preserve">2010 </w:t>
      </w:r>
      <w:proofErr w:type="spellStart"/>
      <w:r w:rsidR="00614726">
        <w:rPr>
          <w:color w:val="000000" w:themeColor="text1"/>
        </w:rPr>
        <w:t>bzw</w:t>
      </w:r>
      <w:proofErr w:type="spellEnd"/>
      <w:r w:rsidR="00614726">
        <w:rPr>
          <w:color w:val="000000" w:themeColor="text1"/>
        </w:rPr>
        <w:t xml:space="preserve"> GWG </w:t>
      </w:r>
      <w:r w:rsidR="0021005F">
        <w:rPr>
          <w:color w:val="000000" w:themeColor="text1"/>
        </w:rPr>
        <w:t xml:space="preserve">2011 </w:t>
      </w:r>
      <w:r w:rsidR="00614726">
        <w:rPr>
          <w:color w:val="000000" w:themeColor="text1"/>
        </w:rPr>
        <w:t>unterbleiben);</w:t>
      </w:r>
    </w:p>
    <w:p w14:paraId="47ED6036" w14:textId="029F77BF" w:rsidR="009C74AE" w:rsidRDefault="009C74AE">
      <w:pPr>
        <w:spacing w:line="240" w:lineRule="auto"/>
        <w:rPr>
          <w:b/>
        </w:rPr>
      </w:pPr>
    </w:p>
    <w:p w14:paraId="7890CAA2" w14:textId="77777777" w:rsidR="0000091E" w:rsidRDefault="0000091E" w:rsidP="00955CF5">
      <w:pPr>
        <w:rPr>
          <w:b/>
        </w:rPr>
      </w:pPr>
      <w:r w:rsidRPr="003F695E">
        <w:rPr>
          <w:b/>
        </w:rPr>
        <w:t>Handlungsanweisung</w:t>
      </w:r>
    </w:p>
    <w:p w14:paraId="65BAB2F1" w14:textId="2D469600" w:rsidR="00472EFA" w:rsidRDefault="0000091E" w:rsidP="00955CF5">
      <w:r w:rsidRPr="00473204">
        <w:t xml:space="preserve">Hinsichtlich </w:t>
      </w:r>
      <w:r w:rsidR="00403FC0">
        <w:t>Ihrer</w:t>
      </w:r>
      <w:r w:rsidRPr="00473204">
        <w:t xml:space="preserve"> Melde- und Publikationspflichten </w:t>
      </w:r>
      <w:r w:rsidR="00EB2502" w:rsidRPr="00473204">
        <w:t>ha</w:t>
      </w:r>
      <w:r w:rsidR="00403FC0">
        <w:t>ben Sie</w:t>
      </w:r>
      <w:r w:rsidRPr="00473204">
        <w:t xml:space="preserve"> grundsätzlich immer s</w:t>
      </w:r>
      <w:r w:rsidRPr="00955CF5">
        <w:t xml:space="preserve">elbst aktiv zu werden. Die </w:t>
      </w:r>
      <w:r w:rsidR="0021005F">
        <w:t>rechtlichen</w:t>
      </w:r>
      <w:r w:rsidR="0021005F" w:rsidRPr="00955CF5">
        <w:t xml:space="preserve"> </w:t>
      </w:r>
      <w:r w:rsidRPr="00955CF5">
        <w:t>Grundlagen, insbesonder</w:t>
      </w:r>
      <w:r w:rsidR="00EB2502" w:rsidRPr="00473204">
        <w:t>e für welche</w:t>
      </w:r>
      <w:r w:rsidR="00EB2502">
        <w:t xml:space="preserve"> </w:t>
      </w:r>
      <w:r w:rsidR="00A3497D" w:rsidRPr="00882D98">
        <w:t>Energiegroßhandelsprodukte</w:t>
      </w:r>
      <w:r w:rsidR="00EB2502">
        <w:t xml:space="preserve"> die</w:t>
      </w:r>
      <w:r>
        <w:t xml:space="preserve"> Regelungen </w:t>
      </w:r>
      <w:r w:rsidR="00472EFA">
        <w:t>der</w:t>
      </w:r>
      <w:r>
        <w:t xml:space="preserve"> REMIT </w:t>
      </w:r>
      <w:r w:rsidR="00D854B7">
        <w:t xml:space="preserve">bzw. der </w:t>
      </w:r>
      <w:r w:rsidR="00472EFA">
        <w:t xml:space="preserve">GHD-V </w:t>
      </w:r>
      <w:r>
        <w:t>gelten</w:t>
      </w:r>
      <w:r w:rsidR="00A3497D">
        <w:t xml:space="preserve"> und welche Unternehmen daher als Marktteilnehmer gemäß REMIT anzusehen sind</w:t>
      </w:r>
      <w:r>
        <w:t xml:space="preserve">, </w:t>
      </w:r>
      <w:r w:rsidR="00472EFA">
        <w:t xml:space="preserve">können im dafür eingerichteten Bereich auf der Webseite der Regulierungsbehörde: </w:t>
      </w:r>
      <w:hyperlink r:id="rId150" w:history="1">
        <w:r w:rsidR="00DD102F" w:rsidRPr="002C6057">
          <w:rPr>
            <w:rStyle w:val="Hyperlink"/>
          </w:rPr>
          <w:t>https://www.e-control.at/remit</w:t>
        </w:r>
      </w:hyperlink>
      <w:r w:rsidR="00472EFA">
        <w:t xml:space="preserve"> eingesehen werden.</w:t>
      </w:r>
    </w:p>
    <w:p w14:paraId="466FBEC3" w14:textId="77777777" w:rsidR="00472EFA" w:rsidRDefault="00472EFA" w:rsidP="00472EFA">
      <w:pPr>
        <w:autoSpaceDE w:val="0"/>
        <w:autoSpaceDN w:val="0"/>
        <w:adjustRightInd w:val="0"/>
      </w:pPr>
      <w:r>
        <w:t xml:space="preserve">Kontakt: </w:t>
      </w:r>
      <w:hyperlink r:id="rId151" w:history="1">
        <w:r w:rsidRPr="00BE5F8B">
          <w:rPr>
            <w:rStyle w:val="Hyperlink"/>
          </w:rPr>
          <w:t>remit@e-control.at</w:t>
        </w:r>
      </w:hyperlink>
    </w:p>
    <w:p w14:paraId="47F6184E" w14:textId="77777777" w:rsidR="00472EFA" w:rsidRDefault="00472EFA" w:rsidP="0000091E">
      <w:pPr>
        <w:autoSpaceDE w:val="0"/>
        <w:autoSpaceDN w:val="0"/>
        <w:adjustRightInd w:val="0"/>
        <w:spacing w:line="240" w:lineRule="auto"/>
      </w:pPr>
    </w:p>
    <w:tbl>
      <w:tblPr>
        <w:tblW w:w="0" w:type="auto"/>
        <w:tblInd w:w="55" w:type="dxa"/>
        <w:tblCellMar>
          <w:left w:w="70" w:type="dxa"/>
          <w:right w:w="70" w:type="dxa"/>
        </w:tblCellMar>
        <w:tblLook w:val="04A0" w:firstRow="1" w:lastRow="0" w:firstColumn="1" w:lastColumn="0" w:noHBand="0" w:noVBand="1"/>
      </w:tblPr>
      <w:tblGrid>
        <w:gridCol w:w="8237"/>
      </w:tblGrid>
      <w:tr w:rsidR="00472EFA" w:rsidRPr="009D6189" w14:paraId="2EB8520A" w14:textId="77777777" w:rsidTr="00955CF5">
        <w:trPr>
          <w:trHeight w:val="255"/>
        </w:trPr>
        <w:tc>
          <w:tcPr>
            <w:tcW w:w="8237" w:type="dxa"/>
            <w:tcBorders>
              <w:top w:val="nil"/>
              <w:left w:val="nil"/>
              <w:bottom w:val="nil"/>
              <w:right w:val="nil"/>
            </w:tcBorders>
            <w:shd w:val="clear" w:color="000000" w:fill="95B3D7"/>
            <w:noWrap/>
            <w:vAlign w:val="center"/>
            <w:hideMark/>
          </w:tcPr>
          <w:p w14:paraId="470F3D88" w14:textId="77777777" w:rsidR="00472EFA" w:rsidRPr="00955CF5" w:rsidRDefault="00472EFA" w:rsidP="005266C8">
            <w:pPr>
              <w:pStyle w:val="Listenabsatz"/>
              <w:spacing w:line="276" w:lineRule="auto"/>
              <w:ind w:left="0"/>
              <w:rPr>
                <w:b/>
                <w:lang w:val="de-AT"/>
              </w:rPr>
            </w:pPr>
            <w:r w:rsidRPr="009D6189">
              <w:rPr>
                <w:b/>
              </w:rPr>
              <w:t xml:space="preserve">Checkliste – </w:t>
            </w:r>
            <w:r w:rsidRPr="00472EFA">
              <w:rPr>
                <w:b/>
              </w:rPr>
              <w:t>REMIT – Verpflichtungen während Geschäftstätigkeit</w:t>
            </w:r>
          </w:p>
        </w:tc>
      </w:tr>
      <w:tr w:rsidR="00472EFA" w:rsidRPr="00A739A7" w14:paraId="7FC841E7" w14:textId="77777777" w:rsidTr="00955CF5">
        <w:trPr>
          <w:trHeight w:val="255"/>
        </w:trPr>
        <w:tc>
          <w:tcPr>
            <w:tcW w:w="8237" w:type="dxa"/>
            <w:tcBorders>
              <w:top w:val="single" w:sz="4" w:space="0" w:color="FFFFFF"/>
              <w:left w:val="single" w:sz="4" w:space="0" w:color="FFFFFF"/>
              <w:bottom w:val="single" w:sz="4" w:space="0" w:color="FFFFFF"/>
              <w:right w:val="single" w:sz="4" w:space="0" w:color="FFFFFF"/>
            </w:tcBorders>
            <w:shd w:val="clear" w:color="000000" w:fill="BDD1E7"/>
          </w:tcPr>
          <w:p w14:paraId="703015FB" w14:textId="77777777" w:rsidR="00472EFA" w:rsidRDefault="00472EFA" w:rsidP="005266C8">
            <w:pPr>
              <w:pStyle w:val="Listenabsatz"/>
              <w:spacing w:line="276" w:lineRule="auto"/>
            </w:pPr>
            <w:r w:rsidRPr="005F50F8">
              <w:t>Veröffentlichung von Insider-Informationen</w:t>
            </w:r>
          </w:p>
        </w:tc>
      </w:tr>
      <w:tr w:rsidR="00472EFA" w:rsidRPr="00A739A7" w14:paraId="39ECD048" w14:textId="77777777" w:rsidTr="00955CF5">
        <w:trPr>
          <w:trHeight w:val="255"/>
        </w:trPr>
        <w:tc>
          <w:tcPr>
            <w:tcW w:w="8237" w:type="dxa"/>
            <w:tcBorders>
              <w:top w:val="single" w:sz="4" w:space="0" w:color="FFFFFF"/>
              <w:left w:val="single" w:sz="4" w:space="0" w:color="FFFFFF"/>
              <w:bottom w:val="single" w:sz="4" w:space="0" w:color="FFFFFF"/>
              <w:right w:val="single" w:sz="4" w:space="0" w:color="FFFFFF"/>
            </w:tcBorders>
            <w:shd w:val="clear" w:color="000000" w:fill="DBE5F1" w:themeFill="accent1" w:themeFillTint="33"/>
          </w:tcPr>
          <w:p w14:paraId="409547B5" w14:textId="77777777" w:rsidR="00472EFA" w:rsidRDefault="00472EFA" w:rsidP="005266C8">
            <w:pPr>
              <w:pStyle w:val="Listenabsatz"/>
              <w:spacing w:line="276" w:lineRule="auto"/>
            </w:pPr>
            <w:r w:rsidRPr="005F50F8">
              <w:t>Zeitgleiche Mitteilung der Insider-Informationen an die E-Control</w:t>
            </w:r>
            <w:r w:rsidR="00FA3033">
              <w:t xml:space="preserve"> (sofern diese nicht über eine ACER-konforme Plattform erfolgt, s.o.)</w:t>
            </w:r>
          </w:p>
        </w:tc>
      </w:tr>
      <w:tr w:rsidR="00472EFA" w:rsidRPr="00A739A7" w14:paraId="762FA728" w14:textId="77777777" w:rsidTr="00955CF5">
        <w:trPr>
          <w:trHeight w:val="255"/>
        </w:trPr>
        <w:tc>
          <w:tcPr>
            <w:tcW w:w="8237" w:type="dxa"/>
            <w:tcBorders>
              <w:top w:val="single" w:sz="4" w:space="0" w:color="FFFFFF"/>
              <w:left w:val="single" w:sz="4" w:space="0" w:color="FFFFFF"/>
              <w:bottom w:val="single" w:sz="4" w:space="0" w:color="FFFFFF"/>
              <w:right w:val="single" w:sz="4" w:space="0" w:color="FFFFFF"/>
            </w:tcBorders>
            <w:shd w:val="clear" w:color="000000" w:fill="BDD1E7"/>
          </w:tcPr>
          <w:p w14:paraId="4CFF38B7" w14:textId="07F53873" w:rsidR="00472EFA" w:rsidRPr="00CC2D0B" w:rsidRDefault="00472EFA" w:rsidP="005266C8">
            <w:pPr>
              <w:pStyle w:val="Listenabsatz"/>
              <w:spacing w:line="276" w:lineRule="auto"/>
            </w:pPr>
            <w:r w:rsidRPr="005F50F8">
              <w:t>Meldung von Transaktionsdaten gemäß Art 8 REMIT</w:t>
            </w:r>
          </w:p>
        </w:tc>
      </w:tr>
      <w:tr w:rsidR="00472EFA" w:rsidRPr="00A739A7" w14:paraId="56BD345B" w14:textId="77777777" w:rsidTr="00955CF5">
        <w:trPr>
          <w:trHeight w:val="255"/>
        </w:trPr>
        <w:tc>
          <w:tcPr>
            <w:tcW w:w="8237" w:type="dxa"/>
            <w:tcBorders>
              <w:top w:val="single" w:sz="4" w:space="0" w:color="FFFFFF"/>
              <w:left w:val="single" w:sz="4" w:space="0" w:color="FFFFFF"/>
              <w:bottom w:val="single" w:sz="4" w:space="0" w:color="FFFFFF"/>
              <w:right w:val="single" w:sz="4" w:space="0" w:color="FFFFFF"/>
            </w:tcBorders>
            <w:shd w:val="clear" w:color="000000" w:fill="DBE5F1" w:themeFill="accent1" w:themeFillTint="33"/>
          </w:tcPr>
          <w:p w14:paraId="1D2CB234" w14:textId="77777777" w:rsidR="00472EFA" w:rsidRDefault="00472EFA" w:rsidP="005266C8">
            <w:pPr>
              <w:pStyle w:val="Listenabsatz"/>
              <w:spacing w:line="276" w:lineRule="auto"/>
            </w:pPr>
            <w:r>
              <w:t>Meldung von Transakt</w:t>
            </w:r>
            <w:r w:rsidR="004C629E">
              <w:t xml:space="preserve">ionsdaten gemäß </w:t>
            </w:r>
            <w:r>
              <w:t>GHD-V</w:t>
            </w:r>
          </w:p>
        </w:tc>
      </w:tr>
    </w:tbl>
    <w:p w14:paraId="338E5B21" w14:textId="77777777" w:rsidR="009864A3" w:rsidRDefault="009864A3" w:rsidP="0000091E">
      <w:pPr>
        <w:rPr>
          <w:b/>
        </w:rPr>
      </w:pPr>
    </w:p>
    <w:p w14:paraId="774AD32E" w14:textId="77777777" w:rsidR="0000091E" w:rsidRDefault="0000091E" w:rsidP="00955CF5">
      <w:pPr>
        <w:keepNext/>
      </w:pPr>
      <w:r>
        <w:rPr>
          <w:b/>
        </w:rPr>
        <w:t>Tipps und Hinweise</w:t>
      </w:r>
    </w:p>
    <w:p w14:paraId="0C9495E2" w14:textId="77777777" w:rsidR="0000091E" w:rsidRDefault="0000091E" w:rsidP="00955CF5">
      <w:pPr>
        <w:keepNext/>
      </w:pPr>
      <w:r>
        <w:t xml:space="preserve">Zeitaufwand zur Erfüllung der REMIT-Verpflichtungen ist äußerst variabel </w:t>
      </w:r>
      <w:r w:rsidR="00EB2502">
        <w:t xml:space="preserve">- </w:t>
      </w:r>
      <w:r>
        <w:t xml:space="preserve">je nach Umfang Ihrer Geschäftstätigkeit sowie Automatisierungsgrad in </w:t>
      </w:r>
      <w:r w:rsidR="00EB2502">
        <w:t>Ihr</w:t>
      </w:r>
      <w:r>
        <w:t xml:space="preserve">em Unternehmen. </w:t>
      </w:r>
    </w:p>
    <w:p w14:paraId="3B46B07B" w14:textId="77777777" w:rsidR="0000091E" w:rsidRPr="00990F5D" w:rsidRDefault="0000091E" w:rsidP="0000091E"/>
    <w:p w14:paraId="21ED2D10" w14:textId="77777777" w:rsidR="0000091E" w:rsidRDefault="0000091E" w:rsidP="00744141">
      <w:pPr>
        <w:pStyle w:val="berschrift2"/>
        <w:keepNext/>
        <w:keepLines/>
        <w:widowControl/>
        <w:numPr>
          <w:ilvl w:val="0"/>
          <w:numId w:val="24"/>
        </w:numPr>
        <w:overflowPunct/>
        <w:autoSpaceDE/>
        <w:autoSpaceDN/>
        <w:adjustRightInd/>
        <w:spacing w:before="200" w:after="0" w:line="276" w:lineRule="auto"/>
        <w:jc w:val="left"/>
        <w:textAlignment w:val="auto"/>
      </w:pPr>
      <w:bookmarkStart w:id="106" w:name="_Toc379201273"/>
      <w:bookmarkStart w:id="107" w:name="_Toc31376463"/>
      <w:r>
        <w:lastRenderedPageBreak/>
        <w:t>Informationen zu weiteren Pflichten</w:t>
      </w:r>
      <w:bookmarkEnd w:id="106"/>
      <w:bookmarkEnd w:id="107"/>
    </w:p>
    <w:p w14:paraId="22E67224" w14:textId="77777777" w:rsidR="008E5C08" w:rsidRDefault="008E5C08" w:rsidP="0000091E">
      <w:pPr>
        <w:rPr>
          <w:b/>
        </w:rPr>
      </w:pPr>
    </w:p>
    <w:p w14:paraId="7DB592CF" w14:textId="77777777" w:rsidR="008E5C08" w:rsidRDefault="008E5C08" w:rsidP="0000091E">
      <w:r w:rsidRPr="00D63D85">
        <w:rPr>
          <w:b/>
        </w:rPr>
        <w:t>Grundversorgung</w:t>
      </w:r>
      <w:r>
        <w:t>:</w:t>
      </w:r>
    </w:p>
    <w:p w14:paraId="39CE1732" w14:textId="77777777" w:rsidR="0000091E" w:rsidRDefault="00A47270" w:rsidP="0000091E">
      <w:pPr>
        <w:rPr>
          <w:rStyle w:val="Hyperlink"/>
        </w:rPr>
      </w:pPr>
      <w:r>
        <w:t xml:space="preserve">Rechtliche Grundlage: </w:t>
      </w:r>
      <w:hyperlink r:id="rId152" w:history="1">
        <w:r w:rsidRPr="002B40C4">
          <w:rPr>
            <w:rStyle w:val="Hyperlink"/>
          </w:rPr>
          <w:t xml:space="preserve">§ </w:t>
        </w:r>
        <w:r>
          <w:rPr>
            <w:rStyle w:val="Hyperlink"/>
          </w:rPr>
          <w:t>77</w:t>
        </w:r>
        <w:r w:rsidRPr="002B40C4">
          <w:rPr>
            <w:rStyle w:val="Hyperlink"/>
          </w:rPr>
          <w:t xml:space="preserve"> </w:t>
        </w:r>
        <w:proofErr w:type="spellStart"/>
        <w:r w:rsidRPr="002B40C4">
          <w:rPr>
            <w:rStyle w:val="Hyperlink"/>
          </w:rPr>
          <w:t>ElWOG</w:t>
        </w:r>
        <w:proofErr w:type="spellEnd"/>
        <w:r w:rsidRPr="002B40C4">
          <w:rPr>
            <w:rStyle w:val="Hyperlink"/>
          </w:rPr>
          <w:t xml:space="preserve"> 2010</w:t>
        </w:r>
      </w:hyperlink>
    </w:p>
    <w:p w14:paraId="325CA6B7" w14:textId="77777777" w:rsidR="008E5C08" w:rsidRDefault="00453EFF" w:rsidP="008E5C08">
      <w:pPr>
        <w:ind w:left="2127"/>
      </w:pPr>
      <w:r>
        <w:t xml:space="preserve"> </w:t>
      </w:r>
      <w:hyperlink r:id="rId153" w:history="1">
        <w:r w:rsidR="008E5C08">
          <w:rPr>
            <w:rStyle w:val="Hyperlink"/>
          </w:rPr>
          <w:t>Landesgesetze</w:t>
        </w:r>
      </w:hyperlink>
      <w:r w:rsidR="008E5C08">
        <w:rPr>
          <w:rStyle w:val="Hyperlink"/>
        </w:rPr>
        <w:br/>
      </w:r>
      <w:r>
        <w:t xml:space="preserve"> </w:t>
      </w:r>
      <w:hyperlink r:id="rId154" w:history="1">
        <w:r w:rsidR="008E5C08">
          <w:rPr>
            <w:rStyle w:val="Hyperlink"/>
          </w:rPr>
          <w:t>Konsumentenschutzgesetz (</w:t>
        </w:r>
        <w:r w:rsidR="008E5C08" w:rsidRPr="00A47270">
          <w:rPr>
            <w:rStyle w:val="Hyperlink"/>
          </w:rPr>
          <w:t>KSch</w:t>
        </w:r>
        <w:r w:rsidR="008E5C08">
          <w:rPr>
            <w:rStyle w:val="Hyperlink"/>
          </w:rPr>
          <w:t>G)</w:t>
        </w:r>
      </w:hyperlink>
    </w:p>
    <w:p w14:paraId="2774943F" w14:textId="37E145C2" w:rsidR="0000091E" w:rsidRDefault="00552B3A" w:rsidP="0000091E">
      <w:r w:rsidRPr="00552B3A">
        <w:t xml:space="preserve">Stromhändler und sonstige </w:t>
      </w:r>
      <w:r w:rsidR="0000091E">
        <w:t>Lieferanten</w:t>
      </w:r>
      <w:r w:rsidRPr="00552B3A">
        <w:t xml:space="preserve">, zu deren Tätigkeitsbereich die Versorgung von </w:t>
      </w:r>
      <w:r w:rsidR="00E855ED">
        <w:t xml:space="preserve">Verbrauchern </w:t>
      </w:r>
      <w:proofErr w:type="spellStart"/>
      <w:r w:rsidR="00E855ED">
        <w:t>iSd</w:t>
      </w:r>
      <w:proofErr w:type="spellEnd"/>
      <w:r w:rsidR="00E855ED">
        <w:t xml:space="preserve"> </w:t>
      </w:r>
      <w:r w:rsidR="00E855ED" w:rsidRPr="002C60DB">
        <w:t>§ 1 Abs. 1 Z 2 KSchG</w:t>
      </w:r>
      <w:r w:rsidR="00E855ED">
        <w:t xml:space="preserve"> </w:t>
      </w:r>
      <w:r w:rsidRPr="00552B3A">
        <w:t xml:space="preserve"> zählt,</w:t>
      </w:r>
      <w:r w:rsidR="0000091E">
        <w:t xml:space="preserve"> sind zu einem gesetzlich festgelegten </w:t>
      </w:r>
      <w:r w:rsidR="0069572A">
        <w:t>Höchstt</w:t>
      </w:r>
      <w:r w:rsidR="0000091E">
        <w:t xml:space="preserve">arif zur Versorgung von Haushaltskunden und Kleinunternehmen (Verbraucher im Sinne des </w:t>
      </w:r>
      <w:r w:rsidR="0000091E" w:rsidRPr="008E5C08">
        <w:t>§ 1 Abs. 1 Z 2 KSchG</w:t>
      </w:r>
      <w:r w:rsidR="0000091E">
        <w:t xml:space="preserve">) – die sich auf diese Grundversorgung berufen – verpflichtet, können jedoch dafür eine Vorauszahlung oder Sicherheitsleistung verlangen, die wiederum bei Verbrauchern ebenfalls der Höhe nach begrenzt ist </w:t>
      </w:r>
      <w:r w:rsidR="0000091E" w:rsidRPr="008E5C08">
        <w:t xml:space="preserve">(§ 77 Abs 1 und 2 </w:t>
      </w:r>
      <w:proofErr w:type="spellStart"/>
      <w:r w:rsidR="0000091E" w:rsidRPr="008E5C08">
        <w:t>ElWOG</w:t>
      </w:r>
      <w:proofErr w:type="spellEnd"/>
      <w:r w:rsidR="0000091E" w:rsidRPr="008E5C08">
        <w:t xml:space="preserve"> 2010</w:t>
      </w:r>
      <w:r w:rsidR="0000091E">
        <w:t xml:space="preserve">). </w:t>
      </w:r>
      <w:r w:rsidR="0051449D" w:rsidRPr="00751D2E">
        <w:t>Der Grundversorgungstarif ist in geeigneter Form (</w:t>
      </w:r>
      <w:proofErr w:type="spellStart"/>
      <w:r w:rsidR="0051449D" w:rsidRPr="00751D2E">
        <w:t>zB</w:t>
      </w:r>
      <w:proofErr w:type="spellEnd"/>
      <w:r w:rsidR="0051449D" w:rsidRPr="00751D2E">
        <w:t xml:space="preserve"> im Internet) zu veröffentlichen.</w:t>
      </w:r>
      <w:r w:rsidR="0051449D">
        <w:t xml:space="preserve"> </w:t>
      </w:r>
      <w:r w:rsidR="0000091E">
        <w:t>Auch Regelungen für die Rückerstattung der Sicherheitsleistung bzw. Absehung von der Vorauszahlung sind gesetzlich festgelegt</w:t>
      </w:r>
      <w:r w:rsidR="002B40C4">
        <w:t xml:space="preserve"> </w:t>
      </w:r>
      <w:r w:rsidR="0000091E" w:rsidRPr="008E5C08">
        <w:t xml:space="preserve">(§ 77 Abs 3 </w:t>
      </w:r>
      <w:proofErr w:type="spellStart"/>
      <w:r w:rsidR="0000091E" w:rsidRPr="008E5C08">
        <w:t>ElWOG</w:t>
      </w:r>
      <w:proofErr w:type="spellEnd"/>
      <w:r w:rsidR="0000091E" w:rsidRPr="008E5C08">
        <w:t xml:space="preserve"> 2010</w:t>
      </w:r>
      <w:r w:rsidR="0000091E">
        <w:t xml:space="preserve">). Unter bestimmten Voraussetzungen ist auch eine Zahlung mit </w:t>
      </w:r>
      <w:proofErr w:type="spellStart"/>
      <w:r w:rsidR="0000091E">
        <w:t>Prepaymentfunktion</w:t>
      </w:r>
      <w:proofErr w:type="spellEnd"/>
      <w:r w:rsidR="0000091E">
        <w:t xml:space="preserve"> in der Grundversorgung möglich </w:t>
      </w:r>
      <w:r w:rsidR="0000091E" w:rsidRPr="008E5C08">
        <w:t xml:space="preserve">(§ 77 Abs 4 und 5 </w:t>
      </w:r>
      <w:proofErr w:type="spellStart"/>
      <w:r w:rsidR="0000091E" w:rsidRPr="008E5C08">
        <w:t>ElWOG</w:t>
      </w:r>
      <w:proofErr w:type="spellEnd"/>
      <w:r w:rsidR="0000091E" w:rsidRPr="008E5C08">
        <w:t xml:space="preserve"> 2010</w:t>
      </w:r>
      <w:r w:rsidR="0000091E">
        <w:t>)</w:t>
      </w:r>
      <w:r w:rsidR="00DE52A4">
        <w:t>.</w:t>
      </w:r>
    </w:p>
    <w:p w14:paraId="3E67FF97" w14:textId="77777777" w:rsidR="008605BA" w:rsidRDefault="008605BA" w:rsidP="0000091E"/>
    <w:p w14:paraId="36C5215E" w14:textId="77777777" w:rsidR="0000091E" w:rsidRDefault="008605BA" w:rsidP="0000091E">
      <w:r w:rsidRPr="008605BA">
        <w:rPr>
          <w:b/>
        </w:rPr>
        <w:t xml:space="preserve">Mahnverfahren, Beratungsstellen, Zählgerät mit </w:t>
      </w:r>
      <w:proofErr w:type="spellStart"/>
      <w:r w:rsidRPr="008605BA">
        <w:rPr>
          <w:b/>
        </w:rPr>
        <w:t>Prepaymentfunktion</w:t>
      </w:r>
      <w:proofErr w:type="spellEnd"/>
    </w:p>
    <w:p w14:paraId="439DE100" w14:textId="77777777" w:rsidR="0000091E" w:rsidRDefault="0000091E" w:rsidP="0000091E">
      <w:r>
        <w:t xml:space="preserve">Rechtliche Grundlage: </w:t>
      </w:r>
      <w:hyperlink r:id="rId155" w:history="1">
        <w:r w:rsidRPr="002B40C4">
          <w:rPr>
            <w:rStyle w:val="Hyperlink"/>
          </w:rPr>
          <w:t xml:space="preserve">§ 82 </w:t>
        </w:r>
        <w:proofErr w:type="spellStart"/>
        <w:r w:rsidRPr="002B40C4">
          <w:rPr>
            <w:rStyle w:val="Hyperlink"/>
          </w:rPr>
          <w:t>ElWOG</w:t>
        </w:r>
        <w:proofErr w:type="spellEnd"/>
        <w:r w:rsidRPr="002B40C4">
          <w:rPr>
            <w:rStyle w:val="Hyperlink"/>
          </w:rPr>
          <w:t xml:space="preserve"> 2010</w:t>
        </w:r>
      </w:hyperlink>
      <w:r>
        <w:t xml:space="preserve"> </w:t>
      </w:r>
    </w:p>
    <w:p w14:paraId="1ACD8C47" w14:textId="77777777" w:rsidR="0000091E" w:rsidRDefault="0000091E" w:rsidP="0000091E">
      <w:r>
        <w:t xml:space="preserve">Bei Vertragsverletzungen des Kunden haben Lieferanten vor der Vertragsbeendigung oder Aussetzung der Lieferung ein gesetzlich festgelegtes Mahnverfahren einzuhalten </w:t>
      </w:r>
      <w:r w:rsidR="0069572A" w:rsidRPr="00ED275C">
        <w:t xml:space="preserve">(§ 82 Abs 3 </w:t>
      </w:r>
      <w:proofErr w:type="spellStart"/>
      <w:r w:rsidR="0069572A" w:rsidRPr="00ED275C">
        <w:t>ElWOG</w:t>
      </w:r>
      <w:proofErr w:type="spellEnd"/>
      <w:r w:rsidR="0069572A" w:rsidRPr="00ED275C">
        <w:t xml:space="preserve"> 2010</w:t>
      </w:r>
      <w:r>
        <w:t xml:space="preserve">). Die Fälle, in denen dieses Mahnverfahren nicht einzuhalten ist, sind ebenfalls gesetzlich festgelegt </w:t>
      </w:r>
      <w:r w:rsidR="0069572A" w:rsidRPr="00ED275C">
        <w:t xml:space="preserve">(§ 82 Abs 4 </w:t>
      </w:r>
      <w:proofErr w:type="spellStart"/>
      <w:r w:rsidR="0069572A" w:rsidRPr="00ED275C">
        <w:t>ElWOG</w:t>
      </w:r>
      <w:proofErr w:type="spellEnd"/>
      <w:r w:rsidR="0069572A" w:rsidRPr="00ED275C">
        <w:t xml:space="preserve"> 2010</w:t>
      </w:r>
      <w:r>
        <w:t xml:space="preserve">). Lieferanten müssen unter bestimmten Voraussetzungen auch Beratungsstellen zu gewissen Themen für Kunden einrichten </w:t>
      </w:r>
      <w:r w:rsidR="0069572A" w:rsidRPr="00ED275C">
        <w:t xml:space="preserve">(§ 82 Abs 7 </w:t>
      </w:r>
      <w:proofErr w:type="spellStart"/>
      <w:r w:rsidR="0069572A" w:rsidRPr="00ED275C">
        <w:t>ElWOG</w:t>
      </w:r>
      <w:proofErr w:type="spellEnd"/>
      <w:r w:rsidR="0069572A" w:rsidRPr="00ED275C">
        <w:t xml:space="preserve"> 2010</w:t>
      </w:r>
      <w:r>
        <w:t>)</w:t>
      </w:r>
      <w:r w:rsidR="002B40C4">
        <w:t>.</w:t>
      </w:r>
    </w:p>
    <w:p w14:paraId="5A8B3A03" w14:textId="084A3F1A" w:rsidR="008605BA" w:rsidRDefault="008605BA" w:rsidP="0000091E">
      <w:r w:rsidRPr="008605BA">
        <w:t xml:space="preserve">Verlangt der </w:t>
      </w:r>
      <w:r w:rsidR="00393701">
        <w:t xml:space="preserve">Lieferant </w:t>
      </w:r>
      <w:r w:rsidRPr="008605BA">
        <w:t>eine Vorauszahlung oder Sicherheitsleistung</w:t>
      </w:r>
      <w:r w:rsidR="0051449D">
        <w:t>,</w:t>
      </w:r>
      <w:r w:rsidRPr="008605BA">
        <w:t xml:space="preserve"> haben Kunden gr</w:t>
      </w:r>
      <w:r>
        <w:t>undsätzlich</w:t>
      </w:r>
      <w:r w:rsidRPr="008605BA">
        <w:t xml:space="preserve"> stattdessen das Recht auf Nutzung eines Zählge</w:t>
      </w:r>
      <w:r>
        <w:t xml:space="preserve">rätes mit </w:t>
      </w:r>
      <w:proofErr w:type="spellStart"/>
      <w:r>
        <w:t>Prepaymentfunktion</w:t>
      </w:r>
      <w:proofErr w:type="spellEnd"/>
      <w:r>
        <w:t xml:space="preserve"> </w:t>
      </w:r>
      <w:r w:rsidR="0069572A">
        <w:t xml:space="preserve">(Vorauszahlungsfunktion) gemäß </w:t>
      </w:r>
      <w:r>
        <w:t>§ 82</w:t>
      </w:r>
      <w:r w:rsidRPr="008605BA">
        <w:t xml:space="preserve"> Abs 5</w:t>
      </w:r>
      <w:r>
        <w:t xml:space="preserve"> </w:t>
      </w:r>
      <w:proofErr w:type="spellStart"/>
      <w:r>
        <w:t>ElWOG</w:t>
      </w:r>
      <w:proofErr w:type="spellEnd"/>
      <w:r>
        <w:t xml:space="preserve"> 2010</w:t>
      </w:r>
      <w:r w:rsidR="0069572A">
        <w:t>.</w:t>
      </w:r>
    </w:p>
    <w:p w14:paraId="2A3D641A" w14:textId="77777777" w:rsidR="00494F61" w:rsidRPr="002F2FA2" w:rsidRDefault="00494F61" w:rsidP="00494F61">
      <w:pPr>
        <w:pStyle w:val="Version"/>
        <w:rPr>
          <w:rFonts w:ascii="Arial" w:hAnsi="Arial" w:cs="Arial"/>
          <w:b/>
          <w:sz w:val="32"/>
        </w:rPr>
      </w:pPr>
      <w:bookmarkStart w:id="108" w:name="_Toc379201274"/>
    </w:p>
    <w:p w14:paraId="1035F936" w14:textId="77777777" w:rsidR="00494F61" w:rsidRPr="00750E36" w:rsidRDefault="00494F61" w:rsidP="00494F61">
      <w:pPr>
        <w:pStyle w:val="Version"/>
        <w:sectPr w:rsidR="00494F61" w:rsidRPr="00750E36" w:rsidSect="00494F61">
          <w:headerReference w:type="default" r:id="rId156"/>
          <w:footerReference w:type="default" r:id="rId157"/>
          <w:footerReference w:type="first" r:id="rId158"/>
          <w:pgSz w:w="11906" w:h="16838" w:code="9"/>
          <w:pgMar w:top="1418" w:right="926" w:bottom="1134" w:left="1418" w:header="709" w:footer="709" w:gutter="0"/>
          <w:cols w:space="708"/>
          <w:docGrid w:linePitch="360"/>
        </w:sectPr>
      </w:pPr>
    </w:p>
    <w:p w14:paraId="01A65633" w14:textId="77777777" w:rsidR="0000091E" w:rsidRDefault="00CB546E" w:rsidP="00CB546E">
      <w:pPr>
        <w:pStyle w:val="berschrift1"/>
      </w:pPr>
      <w:bookmarkStart w:id="109" w:name="_Toc31376464"/>
      <w:r>
        <w:lastRenderedPageBreak/>
        <w:t>ANNEX: R</w:t>
      </w:r>
      <w:r w:rsidR="0000091E" w:rsidRPr="00CB546E">
        <w:t>echtsrahmen</w:t>
      </w:r>
      <w:bookmarkEnd w:id="108"/>
      <w:bookmarkEnd w:id="109"/>
    </w:p>
    <w:p w14:paraId="6545A43D" w14:textId="77777777" w:rsidR="0000091E" w:rsidRDefault="0000091E" w:rsidP="0000091E">
      <w:pPr>
        <w:pStyle w:val="berschrift2"/>
      </w:pPr>
      <w:bookmarkStart w:id="110" w:name="_Toc378145101"/>
      <w:bookmarkStart w:id="111" w:name="_Toc379201275"/>
      <w:bookmarkStart w:id="112" w:name="_Toc31376465"/>
      <w:r>
        <w:t>Linksammlung zu Rechtstexten</w:t>
      </w:r>
      <w:bookmarkEnd w:id="110"/>
      <w:bookmarkEnd w:id="111"/>
      <w:bookmarkEnd w:id="112"/>
    </w:p>
    <w:p w14:paraId="3BBA9D77" w14:textId="77777777" w:rsidR="00A43DC5" w:rsidRDefault="00A43DC5" w:rsidP="00A43DC5">
      <w:pPr>
        <w:pStyle w:val="berschrift3"/>
      </w:pPr>
      <w:bookmarkStart w:id="113" w:name="_Toc31376466"/>
      <w:r>
        <w:t>Basis-Gesetzgebung</w:t>
      </w:r>
      <w:bookmarkEnd w:id="113"/>
      <w:r>
        <w:t xml:space="preserve"> </w:t>
      </w:r>
    </w:p>
    <w:p w14:paraId="0137B35A" w14:textId="77777777" w:rsidR="00BB0F48" w:rsidRDefault="0000091E" w:rsidP="0000091E">
      <w:r>
        <w:t>D</w:t>
      </w:r>
      <w:r w:rsidRPr="00907C8A">
        <w:t xml:space="preserve">er gesetzliche </w:t>
      </w:r>
      <w:r w:rsidRPr="00533928">
        <w:t>Rahmen für den öste</w:t>
      </w:r>
      <w:r w:rsidRPr="00907C8A">
        <w:t xml:space="preserve">rreichischen Elektrizitätsmarkt wird </w:t>
      </w:r>
      <w:r>
        <w:t xml:space="preserve">insbesondere </w:t>
      </w:r>
      <w:r w:rsidRPr="00907C8A">
        <w:t xml:space="preserve">durch </w:t>
      </w:r>
      <w:r w:rsidR="00BB0F48">
        <w:t>folgende Gesetze gesetzt.</w:t>
      </w:r>
    </w:p>
    <w:p w14:paraId="50E8445C" w14:textId="77777777" w:rsidR="0000091E" w:rsidRDefault="0000091E" w:rsidP="0000091E">
      <w:r w:rsidRPr="0093742B">
        <w:t xml:space="preserve">Elektrizitätswirtschafts- und </w:t>
      </w:r>
      <w:r>
        <w:t>-</w:t>
      </w:r>
      <w:proofErr w:type="spellStart"/>
      <w:r>
        <w:t>o</w:t>
      </w:r>
      <w:r w:rsidRPr="00907C8A">
        <w:t>rganisationsgesetz</w:t>
      </w:r>
      <w:proofErr w:type="spellEnd"/>
      <w:r w:rsidRPr="00907C8A">
        <w:t xml:space="preserve"> 2010 </w:t>
      </w:r>
      <w:r>
        <w:t>(</w:t>
      </w:r>
      <w:proofErr w:type="spellStart"/>
      <w:r>
        <w:t>ElWOG</w:t>
      </w:r>
      <w:proofErr w:type="spellEnd"/>
      <w:r>
        <w:t xml:space="preserve"> 2010</w:t>
      </w:r>
      <w:r w:rsidR="00BB0F48">
        <w:t>):</w:t>
      </w:r>
      <w:r>
        <w:t xml:space="preserve"> </w:t>
      </w:r>
      <w:hyperlink r:id="rId159" w:history="1">
        <w:r w:rsidR="005B22D5" w:rsidRPr="002C6057">
          <w:rPr>
            <w:rStyle w:val="Hyperlink"/>
          </w:rPr>
          <w:t>https://www.ris.bka.gv.at/GeltendeFassung.wxe?Abfrage=Bundesnormen&amp;Gesetzesnummer=20007045</w:t>
        </w:r>
      </w:hyperlink>
    </w:p>
    <w:p w14:paraId="79934DE5" w14:textId="77777777" w:rsidR="0000091E" w:rsidRDefault="00624FB8" w:rsidP="0000091E">
      <w:r>
        <w:t>Landesgesetze</w:t>
      </w:r>
      <w:r w:rsidR="00BB0F48">
        <w:t xml:space="preserve"> der neu</w:t>
      </w:r>
      <w:r w:rsidR="0000091E">
        <w:t xml:space="preserve">n Bundesländer (sogenannte </w:t>
      </w:r>
      <w:r>
        <w:t>Landesgesetze</w:t>
      </w:r>
      <w:r w:rsidR="00BB0F48">
        <w:t>)</w:t>
      </w:r>
      <w:r w:rsidR="0000091E">
        <w:t xml:space="preserve"> siehe dazu</w:t>
      </w:r>
      <w:r w:rsidR="00F86CB6">
        <w:t xml:space="preserve"> Linksammlung</w:t>
      </w:r>
      <w:r w:rsidR="00BB0F48">
        <w:t>:</w:t>
      </w:r>
      <w:r w:rsidR="0000091E">
        <w:t xml:space="preserve"> </w:t>
      </w:r>
      <w:r w:rsidR="00BB0F48">
        <w:br/>
      </w:r>
      <w:hyperlink r:id="rId160" w:history="1">
        <w:r w:rsidR="0000091E">
          <w:rPr>
            <w:rStyle w:val="Hyperlink"/>
          </w:rPr>
          <w:t>http://www.e-control.at/de/recht/Landesrecht</w:t>
        </w:r>
      </w:hyperlink>
      <w:r w:rsidR="0000091E">
        <w:t xml:space="preserve"> </w:t>
      </w:r>
    </w:p>
    <w:p w14:paraId="232032A5" w14:textId="77777777" w:rsidR="0000091E" w:rsidRDefault="0000091E" w:rsidP="0000091E">
      <w:r>
        <w:t>Energie-Control-Gesetz (E-</w:t>
      </w:r>
      <w:proofErr w:type="spellStart"/>
      <w:r>
        <w:t>ControlG</w:t>
      </w:r>
      <w:proofErr w:type="spellEnd"/>
      <w:r>
        <w:t>)</w:t>
      </w:r>
      <w:r w:rsidR="00BB0F48">
        <w:t>:</w:t>
      </w:r>
    </w:p>
    <w:p w14:paraId="25439F83" w14:textId="77777777" w:rsidR="005B22D5" w:rsidRDefault="00F26E1C" w:rsidP="0000091E">
      <w:hyperlink r:id="rId161" w:history="1">
        <w:r w:rsidR="005B22D5" w:rsidRPr="002C6057">
          <w:rPr>
            <w:rStyle w:val="Hyperlink"/>
          </w:rPr>
          <w:t>https://www.ris.bka.gv.at/GeltendeFassung.wxe?Abfrage=Bundesnormen&amp;Gesetzesnummer=20007046</w:t>
        </w:r>
      </w:hyperlink>
    </w:p>
    <w:p w14:paraId="2E4B2794" w14:textId="77777777" w:rsidR="008A0570" w:rsidRDefault="008A0570" w:rsidP="008A0570">
      <w:pPr>
        <w:pStyle w:val="berschrift3"/>
      </w:pPr>
      <w:bookmarkStart w:id="114" w:name="_Toc31376467"/>
      <w:r>
        <w:t>Gesetze zu Spezialthemen</w:t>
      </w:r>
      <w:bookmarkEnd w:id="114"/>
    </w:p>
    <w:p w14:paraId="143A1B15" w14:textId="77777777" w:rsidR="0000091E" w:rsidRDefault="0000091E" w:rsidP="0000091E">
      <w:r w:rsidRPr="008A0570">
        <w:t>Spezialthemen</w:t>
      </w:r>
      <w:r>
        <w:t xml:space="preserve"> werden insbesonde</w:t>
      </w:r>
      <w:r w:rsidR="008A0570">
        <w:t>re in den folgenden Gesetzen,</w:t>
      </w:r>
      <w:r>
        <w:t xml:space="preserve"> Verordnungen </w:t>
      </w:r>
      <w:r w:rsidR="008A0570">
        <w:t xml:space="preserve">und Rechtstexten </w:t>
      </w:r>
      <w:r>
        <w:t>geregelt:</w:t>
      </w:r>
    </w:p>
    <w:p w14:paraId="142D9E97" w14:textId="77777777" w:rsidR="0000091E" w:rsidRDefault="0000091E" w:rsidP="0000091E"/>
    <w:p w14:paraId="3529D5E8" w14:textId="5AD5A5D8" w:rsidR="0000091E" w:rsidRDefault="002E123B" w:rsidP="0000091E">
      <w:r w:rsidRPr="00C7432F">
        <w:t>VERORDNUNG (EG) 20</w:t>
      </w:r>
      <w:r>
        <w:t>1</w:t>
      </w:r>
      <w:r w:rsidRPr="00C7432F">
        <w:t>9</w:t>
      </w:r>
      <w:r>
        <w:t>/</w:t>
      </w:r>
      <w:r w:rsidRPr="005F2C9C">
        <w:t xml:space="preserve"> </w:t>
      </w:r>
      <w:r w:rsidRPr="00C7432F">
        <w:t xml:space="preserve">Nr. </w:t>
      </w:r>
      <w:r>
        <w:t>943</w:t>
      </w:r>
      <w:r w:rsidRPr="00C7432F">
        <w:t xml:space="preserve"> </w:t>
      </w:r>
      <w:r w:rsidRPr="002E123B">
        <w:t>des Europäischen Parlaments und des Rates vom 5. Juni 2019</w:t>
      </w:r>
      <w:r>
        <w:t xml:space="preserve"> </w:t>
      </w:r>
      <w:r w:rsidRPr="00C7432F">
        <w:t xml:space="preserve">über </w:t>
      </w:r>
      <w:r w:rsidRPr="002E123B">
        <w:t>den Elektrizitätsbinnenmarkt</w:t>
      </w:r>
      <w:r>
        <w:t xml:space="preserve"> </w:t>
      </w:r>
      <w:r>
        <w:br/>
      </w:r>
      <w:hyperlink r:id="rId162" w:history="1">
        <w:r>
          <w:rPr>
            <w:rStyle w:val="Hyperlink"/>
          </w:rPr>
          <w:t>https://eur-lex.europa.eu/legal-content/DE/TXT/?qid=1575558443106&amp;uri=CELEX:32019R0943</w:t>
        </w:r>
      </w:hyperlink>
      <w:r>
        <w:t xml:space="preserve"> </w:t>
      </w:r>
    </w:p>
    <w:p w14:paraId="20FFF0F6" w14:textId="77777777" w:rsidR="0000091E" w:rsidRDefault="0000091E" w:rsidP="0000091E"/>
    <w:p w14:paraId="15CBD261" w14:textId="35DEF85B" w:rsidR="00E82D88" w:rsidRDefault="00E82D88" w:rsidP="00E82D88">
      <w:r w:rsidRPr="006C7135">
        <w:t>VERORDNUNG (EU) 2015/1222 DER KOMMISSION</w:t>
      </w:r>
      <w:r>
        <w:t xml:space="preserve"> </w:t>
      </w:r>
      <w:r w:rsidRPr="006C7135">
        <w:t>zur Festlegung einer Leitlinie für die Kapazitätsvergabe und das Engpassmanagement</w:t>
      </w:r>
    </w:p>
    <w:p w14:paraId="45EA94BF" w14:textId="215CD767" w:rsidR="007834A8" w:rsidRDefault="00F26E1C" w:rsidP="00E82D88">
      <w:hyperlink r:id="rId163" w:history="1">
        <w:r w:rsidR="007834A8">
          <w:rPr>
            <w:rStyle w:val="Hyperlink"/>
          </w:rPr>
          <w:t>https://eur-lex.europa.eu/legal-content/DE/TXT/?qid=1576080684010&amp;uri=CELEX:32015R1222</w:t>
        </w:r>
      </w:hyperlink>
    </w:p>
    <w:p w14:paraId="01C04012" w14:textId="77777777" w:rsidR="007834A8" w:rsidRDefault="007834A8" w:rsidP="00E82D88"/>
    <w:p w14:paraId="079A0F45" w14:textId="77777777" w:rsidR="00FE21CB" w:rsidRDefault="00FE21CB" w:rsidP="00FE21CB">
      <w:r>
        <w:t>VERORDNUNG (EU) 2016/1719 DER KOMMMISSION zur Festlegung einer Leitlinie für die Vergabe langfristiger Kapazität</w:t>
      </w:r>
    </w:p>
    <w:p w14:paraId="3C488363" w14:textId="5ACCB1B2" w:rsidR="00FE21CB" w:rsidRDefault="00F26E1C" w:rsidP="00FE21CB">
      <w:hyperlink r:id="rId164" w:history="1">
        <w:r w:rsidR="007834A8">
          <w:rPr>
            <w:rStyle w:val="Hyperlink"/>
          </w:rPr>
          <w:t>https://eur-lex.europa.eu/legal-content/DE/TXT/?qid=1576080729097&amp;uri=CELEX:32016R1719</w:t>
        </w:r>
      </w:hyperlink>
    </w:p>
    <w:p w14:paraId="44E54515" w14:textId="77777777" w:rsidR="00712B26" w:rsidRDefault="00712B26" w:rsidP="00FE21CB"/>
    <w:p w14:paraId="2A98017C" w14:textId="79C9D380" w:rsidR="008C26D4" w:rsidRDefault="00464B5F" w:rsidP="008C26D4">
      <w:r w:rsidRPr="00C7432F">
        <w:t>VERORDNUNG</w:t>
      </w:r>
      <w:r w:rsidR="0000091E" w:rsidRPr="00484E78">
        <w:t xml:space="preserve"> (EU) Nr. 1227/2011 des Europäischen Parlaments und des Rates vom 25. Oktober 2011 über die Integrität und Transparenz des Energiegroßhandelsmarkt</w:t>
      </w:r>
      <w:r w:rsidR="00DE52A4">
        <w:t>e</w:t>
      </w:r>
      <w:r w:rsidR="0000091E" w:rsidRPr="00484E78">
        <w:t>s (REMIT-VO):</w:t>
      </w:r>
      <w:r w:rsidR="0000091E" w:rsidRPr="00484E78">
        <w:br/>
      </w:r>
      <w:hyperlink r:id="rId165" w:history="1">
        <w:r w:rsidR="007834A8">
          <w:rPr>
            <w:rStyle w:val="Hyperlink"/>
          </w:rPr>
          <w:t>https://eur-lex.europa.eu/legal-content/DE/TXT/?qid=1576081060977&amp;uri=CELEX:32011R1227</w:t>
        </w:r>
      </w:hyperlink>
    </w:p>
    <w:p w14:paraId="247DB722" w14:textId="77777777" w:rsidR="00DD102F" w:rsidRDefault="00DD102F" w:rsidP="008C26D4">
      <w:pPr>
        <w:rPr>
          <w:lang w:val="de-DE"/>
        </w:rPr>
      </w:pPr>
    </w:p>
    <w:p w14:paraId="05E758F7" w14:textId="48B0DA4F" w:rsidR="008C26D4" w:rsidRDefault="00DA0B55" w:rsidP="008C26D4">
      <w:pPr>
        <w:rPr>
          <w:lang w:val="de-DE"/>
        </w:rPr>
      </w:pPr>
      <w:r w:rsidRPr="00DA0B55">
        <w:rPr>
          <w:lang w:val="de-DE"/>
        </w:rPr>
        <w:t xml:space="preserve">DURCHFÜHRUNGSVERORDNUNG (EU) </w:t>
      </w:r>
      <w:r w:rsidR="008C26D4">
        <w:rPr>
          <w:lang w:val="de-DE"/>
        </w:rPr>
        <w:t>Nr.1348/2014 der Kommission vom 17. Dezember 2014 über die Datenmeldung gemäß Artikel 8 Absätze 2 und 6 der Verordnung (EU) Nr. 1227/2011 des Europäischen Parlaments und des Rates über die Integrität und Transparenz des Energiegroßhandels (</w:t>
      </w:r>
      <w:r w:rsidR="008C26D4" w:rsidRPr="00464B5F">
        <w:rPr>
          <w:lang w:val="de-DE"/>
        </w:rPr>
        <w:t>REMIT-DV</w:t>
      </w:r>
      <w:r w:rsidR="008C26D4">
        <w:rPr>
          <w:lang w:val="de-DE"/>
        </w:rPr>
        <w:t>):</w:t>
      </w:r>
      <w:r w:rsidR="007834A8">
        <w:rPr>
          <w:lang w:val="de-DE"/>
        </w:rPr>
        <w:br/>
      </w:r>
      <w:hyperlink r:id="rId166" w:history="1">
        <w:r w:rsidR="007834A8">
          <w:rPr>
            <w:rStyle w:val="Hyperlink"/>
          </w:rPr>
          <w:t>https://eur-lex.europa.eu/legal-content/DE/TXT/?qid=1576081140784&amp;uri=CELEX:32014R1348</w:t>
        </w:r>
      </w:hyperlink>
    </w:p>
    <w:p w14:paraId="174CA565" w14:textId="77777777" w:rsidR="008C26D4" w:rsidRPr="00464B5F" w:rsidRDefault="008C26D4" w:rsidP="008C26D4">
      <w:pPr>
        <w:rPr>
          <w:lang w:val="de-DE"/>
        </w:rPr>
      </w:pPr>
    </w:p>
    <w:p w14:paraId="31DFBBC3" w14:textId="2FAA98BB" w:rsidR="00D855F4" w:rsidRDefault="0000091E" w:rsidP="0000091E">
      <w:r w:rsidRPr="00E7477E">
        <w:t>Leitlinien</w:t>
      </w:r>
      <w:r>
        <w:t xml:space="preserve"> der Agency </w:t>
      </w:r>
      <w:proofErr w:type="spellStart"/>
      <w:r>
        <w:t>of</w:t>
      </w:r>
      <w:proofErr w:type="spellEnd"/>
      <w:r>
        <w:t xml:space="preserve"> </w:t>
      </w:r>
      <w:proofErr w:type="spellStart"/>
      <w:r>
        <w:t>Cooperation</w:t>
      </w:r>
      <w:proofErr w:type="spellEnd"/>
      <w:r>
        <w:t xml:space="preserve"> </w:t>
      </w:r>
      <w:proofErr w:type="spellStart"/>
      <w:r>
        <w:t>for</w:t>
      </w:r>
      <w:proofErr w:type="spellEnd"/>
      <w:r>
        <w:t xml:space="preserve"> Energy Regulators (ACER) zur Anwendung der Begriffsbestimmungen unter REMIT-VO: </w:t>
      </w:r>
      <w:hyperlink r:id="rId167" w:history="1">
        <w:r w:rsidR="00D855F4" w:rsidRPr="00EB7BAF">
          <w:rPr>
            <w:rStyle w:val="Hyperlink"/>
          </w:rPr>
          <w:t>https://documents.acer-remit.eu/</w:t>
        </w:r>
      </w:hyperlink>
    </w:p>
    <w:p w14:paraId="11E70ED0" w14:textId="77777777" w:rsidR="0000091E" w:rsidRDefault="0000091E" w:rsidP="0000091E"/>
    <w:p w14:paraId="68300538" w14:textId="77777777" w:rsidR="00B45EB9" w:rsidRPr="00757156" w:rsidRDefault="004C629E" w:rsidP="00B45EB9">
      <w:pPr>
        <w:rPr>
          <w:rFonts w:cstheme="minorHAnsi"/>
          <w:color w:val="000000"/>
        </w:rPr>
      </w:pPr>
      <w:bookmarkStart w:id="115" w:name="_Hlk506392484"/>
      <w:r>
        <w:rPr>
          <w:rFonts w:cstheme="minorHAnsi"/>
          <w:color w:val="000000"/>
        </w:rPr>
        <w:t xml:space="preserve">Großhandelsdatenverordnung – </w:t>
      </w:r>
      <w:r w:rsidR="00B45EB9" w:rsidRPr="00757156">
        <w:rPr>
          <w:rFonts w:cstheme="minorHAnsi"/>
          <w:color w:val="000000"/>
        </w:rPr>
        <w:t>GHD-V</w:t>
      </w:r>
      <w:r w:rsidR="00BB0F48">
        <w:rPr>
          <w:rFonts w:cstheme="minorHAnsi"/>
          <w:color w:val="000000"/>
        </w:rPr>
        <w:t>:</w:t>
      </w:r>
    </w:p>
    <w:p w14:paraId="15453660" w14:textId="77777777" w:rsidR="00BB0F48" w:rsidRDefault="00DB7C0B" w:rsidP="00AE61C8">
      <w:pPr>
        <w:jc w:val="both"/>
        <w:rPr>
          <w:rFonts w:cstheme="minorHAnsi"/>
          <w:color w:val="000000"/>
        </w:rPr>
      </w:pPr>
      <w:bookmarkStart w:id="116" w:name="_Hlk506311056"/>
      <w:r w:rsidRPr="00DB7C0B">
        <w:rPr>
          <w:rFonts w:cstheme="minorHAnsi"/>
          <w:color w:val="000000"/>
        </w:rPr>
        <w:t>Verordnung des Vorstands der E-Control über die Melde-, Aufbewahrungs- und Übermittlungspflichten von Daten zu Energiegroßhandelsprodukten (Großhandelsdatenverordnung – GHD-V)</w:t>
      </w:r>
      <w:r>
        <w:rPr>
          <w:rFonts w:cstheme="minorHAnsi"/>
          <w:color w:val="000000"/>
        </w:rPr>
        <w:t xml:space="preserve"> </w:t>
      </w:r>
      <w:r w:rsidR="00A32332">
        <w:rPr>
          <w:rFonts w:cstheme="minorHAnsi"/>
          <w:color w:val="000000"/>
        </w:rPr>
        <w:t xml:space="preserve">und </w:t>
      </w:r>
      <w:r w:rsidR="00BB0F48">
        <w:rPr>
          <w:rFonts w:cstheme="minorHAnsi"/>
          <w:color w:val="000000"/>
        </w:rPr>
        <w:t>Erläuterungen</w:t>
      </w:r>
      <w:r w:rsidR="004C629E">
        <w:rPr>
          <w:rFonts w:cstheme="minorHAnsi"/>
          <w:color w:val="000000"/>
        </w:rPr>
        <w:t xml:space="preserve"> zur </w:t>
      </w:r>
      <w:r w:rsidR="00BB0F48" w:rsidRPr="00BB0F48">
        <w:rPr>
          <w:rFonts w:cstheme="minorHAnsi"/>
          <w:color w:val="000000"/>
        </w:rPr>
        <w:t>GHD-V</w:t>
      </w:r>
    </w:p>
    <w:p w14:paraId="1B43AC1C" w14:textId="77777777" w:rsidR="00BB0F48" w:rsidRDefault="00F26E1C" w:rsidP="00B45EB9">
      <w:hyperlink r:id="rId168" w:anchor="p_p_id_56_INSTANCE_10309A20144_" w:history="1">
        <w:r w:rsidR="004C629E" w:rsidRPr="00157EAF">
          <w:rPr>
            <w:rStyle w:val="Hyperlink"/>
          </w:rPr>
          <w:t>https://www.e-control.at/recht/bundesrecht/strom/verordnungen#p_p_id_56_INSTANCE_10309A20144_</w:t>
        </w:r>
      </w:hyperlink>
      <w:bookmarkEnd w:id="115"/>
      <w:bookmarkEnd w:id="116"/>
    </w:p>
    <w:p w14:paraId="0E2E8099" w14:textId="266DC6F4" w:rsidR="004C629E" w:rsidRDefault="004C629E" w:rsidP="00B45EB9"/>
    <w:p w14:paraId="05AB8114" w14:textId="77777777" w:rsidR="005F2C9C" w:rsidRDefault="005F2C9C" w:rsidP="005F2C9C">
      <w:pPr>
        <w:keepNext/>
      </w:pPr>
      <w:r>
        <w:t>RICHTLINIE (EU) 2019/944 DES EUROPÄISCHEN PARLAMENTS UND DES RATES</w:t>
      </w:r>
    </w:p>
    <w:p w14:paraId="41D8EFE6" w14:textId="3FE2ADB0" w:rsidR="005F2C9C" w:rsidRDefault="005F2C9C" w:rsidP="005F2C9C">
      <w:pPr>
        <w:keepNext/>
      </w:pPr>
      <w:r>
        <w:t>vom 5. Juni 2019 mit gemeinsamen Vorschriften für den Elektrizitätsbinnenmarkt und zur Änderung der Richtlinie 2012/27/EU</w:t>
      </w:r>
    </w:p>
    <w:p w14:paraId="762E1A91" w14:textId="21FB31A9" w:rsidR="005F2C9C" w:rsidRDefault="00F26E1C" w:rsidP="005F2C9C">
      <w:pPr>
        <w:keepNext/>
      </w:pPr>
      <w:hyperlink r:id="rId169" w:history="1">
        <w:r w:rsidR="007834A8">
          <w:rPr>
            <w:rStyle w:val="Hyperlink"/>
          </w:rPr>
          <w:t>https://eur-lex.europa.eu/legal-content/DE/TXT/?qid=1576081236301&amp;uri=CELEX:32019L0944</w:t>
        </w:r>
      </w:hyperlink>
    </w:p>
    <w:p w14:paraId="19CA4859" w14:textId="77777777" w:rsidR="005F2C9C" w:rsidRDefault="005F2C9C" w:rsidP="005F2C9C"/>
    <w:p w14:paraId="09D8B07A" w14:textId="77777777" w:rsidR="005F2C9C" w:rsidRDefault="005F2C9C" w:rsidP="005F2C9C">
      <w:r>
        <w:t>RICHTLINIE (EU) 2018/2001 DES EUROPÄISCHEN PARLAMENTS UND DES RATES</w:t>
      </w:r>
    </w:p>
    <w:p w14:paraId="2411FBFF" w14:textId="77777777" w:rsidR="005F2C9C" w:rsidRDefault="005F2C9C" w:rsidP="00B45EB9">
      <w:r>
        <w:t>vom 11. Dezember 2018 zur Förderung der Nutzung von Energie aus erneuerbaren Quellen</w:t>
      </w:r>
    </w:p>
    <w:p w14:paraId="0533D624" w14:textId="47A82E95" w:rsidR="00946E67" w:rsidRDefault="00F26E1C" w:rsidP="00B45EB9">
      <w:hyperlink r:id="rId170" w:history="1">
        <w:r w:rsidR="000E374A">
          <w:rPr>
            <w:rStyle w:val="Hyperlink"/>
          </w:rPr>
          <w:t>https://eur-lex.europa.eu/legal-content/DE/TXT/?qid=1576081269504&amp;uri=CELEX:32018L2001</w:t>
        </w:r>
      </w:hyperlink>
    </w:p>
    <w:p w14:paraId="33EFB80D" w14:textId="77777777" w:rsidR="00946E67" w:rsidRDefault="00946E67" w:rsidP="00B45EB9"/>
    <w:p w14:paraId="6F4E3795" w14:textId="77777777" w:rsidR="00B8716A" w:rsidRDefault="000E681A" w:rsidP="00AE2025">
      <w:pPr>
        <w:keepNext/>
      </w:pPr>
      <w:r w:rsidRPr="000E681A">
        <w:t>Ökostromgesetz 2012 – ÖSG 2012</w:t>
      </w:r>
      <w:r w:rsidR="00B8716A">
        <w:t xml:space="preserve"> </w:t>
      </w:r>
    </w:p>
    <w:p w14:paraId="26B7449E" w14:textId="77777777" w:rsidR="0000091E" w:rsidRDefault="00B8716A" w:rsidP="00AE2025">
      <w:pPr>
        <w:keepNext/>
      </w:pPr>
      <w:r>
        <w:t>Bundesgesetz über die Förderung der Elektrizitätserzeugung aus erneuerbaren Energieträgern</w:t>
      </w:r>
      <w:r w:rsidR="0000091E">
        <w:t xml:space="preserve">: </w:t>
      </w:r>
      <w:hyperlink r:id="rId171" w:history="1">
        <w:r w:rsidR="00BB0F48" w:rsidRPr="00315F1D">
          <w:rPr>
            <w:rStyle w:val="Hyperlink"/>
          </w:rPr>
          <w:t>https://www.ris.bka.gv.at/GeltendeFassung.wxe?Abfrage=Bundesnormen&amp;Gesetzesnummer=20007386</w:t>
        </w:r>
      </w:hyperlink>
    </w:p>
    <w:p w14:paraId="5FD0340B" w14:textId="77777777" w:rsidR="00BB0F48" w:rsidRDefault="00BB0F48" w:rsidP="0000091E"/>
    <w:p w14:paraId="5169713F" w14:textId="77777777" w:rsidR="00F62216" w:rsidRDefault="00F62216" w:rsidP="0000091E">
      <w:r w:rsidRPr="00F62216">
        <w:t xml:space="preserve">Bundesgesetz über die Steigerung der Energieeffizienz bei Unternehmen und dem Bund (Bundes-Energieeffizienzgesetz – </w:t>
      </w:r>
      <w:proofErr w:type="spellStart"/>
      <w:r w:rsidRPr="00F62216">
        <w:t>EEffG</w:t>
      </w:r>
      <w:proofErr w:type="spellEnd"/>
      <w:r w:rsidRPr="00F62216">
        <w:t>)</w:t>
      </w:r>
      <w:r>
        <w:t xml:space="preserve">: </w:t>
      </w:r>
      <w:hyperlink r:id="rId172" w:history="1">
        <w:r w:rsidRPr="00A54D56">
          <w:rPr>
            <w:rStyle w:val="Hyperlink"/>
          </w:rPr>
          <w:t>http://www.ris.bka.gv.at/GeltendeFassung.wxe?Abfrage=Bundesnormen&amp;Gesetzesnummer=20008914&amp;FassungVom=2014-10-08</w:t>
        </w:r>
      </w:hyperlink>
    </w:p>
    <w:p w14:paraId="552A6344" w14:textId="77777777" w:rsidR="00F62216" w:rsidRDefault="00F62216" w:rsidP="0000091E"/>
    <w:p w14:paraId="35EC03CB" w14:textId="77777777" w:rsidR="00690062" w:rsidRDefault="0000091E" w:rsidP="00A178D0">
      <w:pPr>
        <w:keepNext/>
      </w:pPr>
      <w:proofErr w:type="spellStart"/>
      <w:r>
        <w:t>StromkennzeichnungsVO</w:t>
      </w:r>
      <w:proofErr w:type="spellEnd"/>
      <w:r w:rsidR="002409B6">
        <w:t xml:space="preserve"> und Erläuterungen zur </w:t>
      </w:r>
      <w:proofErr w:type="spellStart"/>
      <w:r w:rsidR="002409B6">
        <w:t>StromkennzeichnungsVO</w:t>
      </w:r>
      <w:proofErr w:type="spellEnd"/>
      <w:r w:rsidR="002409B6">
        <w:t>:</w:t>
      </w:r>
    </w:p>
    <w:p w14:paraId="3A5A5132" w14:textId="1A0FDBCE" w:rsidR="000E681A" w:rsidRDefault="00F26E1C" w:rsidP="0000091E">
      <w:pPr>
        <w:rPr>
          <w:rStyle w:val="Hyperlink"/>
        </w:rPr>
      </w:pPr>
      <w:hyperlink r:id="rId173" w:anchor="p_p_id_com_liferay_journal_content_web_portlet_JournalContentPortlet_INSTANCE_10309A20137_" w:history="1">
        <w:r w:rsidR="000E374A">
          <w:rPr>
            <w:rStyle w:val="Hyperlink"/>
          </w:rPr>
          <w:t>https://www.e-control.at/recht/bundesrecht/strom/verordnungen#p_p_id_com_liferay_journal_content_web_portlet_JournalContentPortlet_INSTANCE_10309A20137_</w:t>
        </w:r>
      </w:hyperlink>
    </w:p>
    <w:p w14:paraId="35E9CBD3" w14:textId="22875DC5" w:rsidR="002409B6" w:rsidRDefault="002409B6" w:rsidP="00F869F9"/>
    <w:p w14:paraId="3E251141" w14:textId="23DB9A09" w:rsidR="00946E67" w:rsidRDefault="00946E67" w:rsidP="00F869F9">
      <w:r w:rsidRPr="00946E67">
        <w:t>Verordnung (EU) 2016/679 des Europäischen Parlaments und des Rates vom 27. April 2016 zum Schutz natürlicher Personen bei der Verarbeitung personenbezogener Daten, zum freien Datenverkehr und zur Aufhebung der Richtlinie 95/46/EG (Datenschutz-Grundverordnung)</w:t>
      </w:r>
    </w:p>
    <w:p w14:paraId="3AB0FFA5" w14:textId="06F4BF40" w:rsidR="00946E67" w:rsidRDefault="00F26E1C" w:rsidP="00F869F9">
      <w:hyperlink r:id="rId174" w:history="1">
        <w:r w:rsidR="00946E67" w:rsidRPr="00C12D0F">
          <w:rPr>
            <w:rStyle w:val="Hyperlink"/>
          </w:rPr>
          <w:t>https://eur-lex.europa.eu/legal-content/DE/ALL/?uri=CELEX:32016R0679</w:t>
        </w:r>
      </w:hyperlink>
    </w:p>
    <w:p w14:paraId="36BDA000" w14:textId="77777777" w:rsidR="00946E67" w:rsidRDefault="00946E67" w:rsidP="00F869F9"/>
    <w:p w14:paraId="653D1D44" w14:textId="77777777" w:rsidR="00A178D0" w:rsidRDefault="00A178D0" w:rsidP="00A178D0">
      <w:r>
        <w:t xml:space="preserve">Konsumentenschutzgesetz – KSchG: </w:t>
      </w:r>
    </w:p>
    <w:p w14:paraId="74989BB5" w14:textId="77777777" w:rsidR="00A178D0" w:rsidRDefault="00F26E1C" w:rsidP="00F869F9">
      <w:hyperlink r:id="rId175" w:history="1">
        <w:r w:rsidR="00A47270" w:rsidRPr="00552919">
          <w:rPr>
            <w:rStyle w:val="Hyperlink"/>
          </w:rPr>
          <w:t>https://www.ris.bka.gv.at/GeltendeFassung.wxe?Abfrage=Bundesnormen&amp;Gesetzesnummer=10002462</w:t>
        </w:r>
      </w:hyperlink>
    </w:p>
    <w:p w14:paraId="1D9A5F13" w14:textId="77777777" w:rsidR="00A47270" w:rsidRDefault="00A47270" w:rsidP="00F869F9"/>
    <w:p w14:paraId="577EBB49" w14:textId="01A98C84" w:rsidR="008C26D4" w:rsidRDefault="002409B6" w:rsidP="00F869F9">
      <w:r>
        <w:t xml:space="preserve">Wechselverordnung 2014 </w:t>
      </w:r>
      <w:r w:rsidR="00690062">
        <w:t>(</w:t>
      </w:r>
      <w:r>
        <w:t>WVO 2014</w:t>
      </w:r>
      <w:r w:rsidR="00690062">
        <w:t>)</w:t>
      </w:r>
      <w:r>
        <w:t>:</w:t>
      </w:r>
      <w:r w:rsidR="000E374A">
        <w:br/>
      </w:r>
      <w:r w:rsidR="008C26D4">
        <w:t>Verordnung der E-Control über den Wechsel, die Anmeldung, di</w:t>
      </w:r>
      <w:r>
        <w:t>e Abmeldung und den Widerspruch</w:t>
      </w:r>
      <w:r w:rsidR="00F869F9">
        <w:t xml:space="preserve">, </w:t>
      </w:r>
      <w:r w:rsidR="008C26D4">
        <w:t>An</w:t>
      </w:r>
      <w:r w:rsidR="00690062">
        <w:t xml:space="preserve">hang zur </w:t>
      </w:r>
      <w:r w:rsidR="008C26D4">
        <w:t>WVO 2014</w:t>
      </w:r>
      <w:r w:rsidR="00F869F9">
        <w:t xml:space="preserve"> </w:t>
      </w:r>
      <w:r w:rsidR="00E07727">
        <w:br/>
      </w:r>
      <w:r w:rsidR="00A32332">
        <w:t xml:space="preserve">und </w:t>
      </w:r>
      <w:r w:rsidR="00F869F9">
        <w:t>Erl</w:t>
      </w:r>
      <w:r w:rsidR="008C26D4">
        <w:t>äuterungen zur WVO 2014</w:t>
      </w:r>
      <w:r w:rsidR="00F869F9">
        <w:t xml:space="preserve">: </w:t>
      </w:r>
    </w:p>
    <w:p w14:paraId="33E3CD4A" w14:textId="60804957" w:rsidR="008C26D4" w:rsidRDefault="00F26E1C" w:rsidP="0000091E">
      <w:hyperlink r:id="rId176" w:anchor="p_p_id_com_liferay_journal_content_web_portlet_JournalContentPortlet_INSTANCE_10309A20136_" w:history="1">
        <w:r w:rsidR="000E374A">
          <w:rPr>
            <w:rStyle w:val="Hyperlink"/>
          </w:rPr>
          <w:t>https://www.e-control.at/de/recht/bundesrecht/strom/verordnungen#p_p_id_com_liferay_journal_content_web_portlet_JournalContentPortlet_INSTANCE_10309A20136_</w:t>
        </w:r>
      </w:hyperlink>
    </w:p>
    <w:p w14:paraId="45476DB1" w14:textId="77777777" w:rsidR="00402168" w:rsidRDefault="00402168" w:rsidP="0000091E"/>
    <w:p w14:paraId="60480906" w14:textId="77777777" w:rsidR="009A6D5B" w:rsidRDefault="009A6D5B" w:rsidP="00713EFC">
      <w:pPr>
        <w:keepNext/>
      </w:pPr>
      <w:r w:rsidRPr="009A6D5B">
        <w:t>Datenformat- und Verbrauchsinformationsdarstellungs</w:t>
      </w:r>
      <w:r w:rsidR="00690062">
        <w:t xml:space="preserve">verordnung </w:t>
      </w:r>
      <w:r w:rsidRPr="009A6D5B">
        <w:t>(DAVID-VO)</w:t>
      </w:r>
      <w:r w:rsidR="00690062">
        <w:t>:</w:t>
      </w:r>
    </w:p>
    <w:p w14:paraId="468F1055" w14:textId="77777777" w:rsidR="00225206" w:rsidRDefault="009A6D5B" w:rsidP="00713EFC">
      <w:pPr>
        <w:pStyle w:val="Listenabsatz"/>
        <w:keepNext/>
        <w:numPr>
          <w:ilvl w:val="0"/>
          <w:numId w:val="23"/>
        </w:numPr>
      </w:pPr>
      <w:r w:rsidRPr="009A6D5B">
        <w:t>Datenformat- und Verb</w:t>
      </w:r>
      <w:r w:rsidR="00690062">
        <w:t>rauchsinformationsdarstellungsverordnung</w:t>
      </w:r>
      <w:r w:rsidRPr="009A6D5B">
        <w:t xml:space="preserve"> 2012 (DAVID-VO 2012)</w:t>
      </w:r>
      <w:r>
        <w:t xml:space="preserve"> </w:t>
      </w:r>
      <w:r w:rsidR="00E07727">
        <w:br/>
      </w:r>
      <w:r w:rsidR="00A32332">
        <w:t xml:space="preserve">und </w:t>
      </w:r>
      <w:r>
        <w:t xml:space="preserve">Erläuterungen zur </w:t>
      </w:r>
      <w:r w:rsidRPr="007D56F9">
        <w:t xml:space="preserve">DAVID-VO </w:t>
      </w:r>
      <w:r w:rsidR="00225206">
        <w:t>2012</w:t>
      </w:r>
    </w:p>
    <w:p w14:paraId="79726EF5" w14:textId="77777777" w:rsidR="00225206" w:rsidRDefault="00225206" w:rsidP="00713EFC">
      <w:pPr>
        <w:pStyle w:val="Listenabsatz"/>
        <w:keepNext/>
        <w:numPr>
          <w:ilvl w:val="0"/>
          <w:numId w:val="23"/>
        </w:numPr>
      </w:pPr>
      <w:r>
        <w:t xml:space="preserve">Änderung der </w:t>
      </w:r>
      <w:r w:rsidRPr="009A6D5B">
        <w:t>Datenformat- und Ver</w:t>
      </w:r>
      <w:r>
        <w:t>brauchsinformationsdarstellungsverordnung</w:t>
      </w:r>
      <w:r w:rsidRPr="009A6D5B">
        <w:t xml:space="preserve"> 2012 (DAVID-VO 2012)</w:t>
      </w:r>
      <w:r>
        <w:t xml:space="preserve"> </w:t>
      </w:r>
      <w:r>
        <w:br/>
      </w:r>
      <w:r w:rsidR="00A32332">
        <w:t xml:space="preserve">und </w:t>
      </w:r>
      <w:r>
        <w:t xml:space="preserve">Erläuterungen zur Änderung der </w:t>
      </w:r>
      <w:r w:rsidRPr="007D56F9">
        <w:t xml:space="preserve">DAVID-VO </w:t>
      </w:r>
      <w:r>
        <w:t>2012:</w:t>
      </w:r>
    </w:p>
    <w:p w14:paraId="3617A44A" w14:textId="348A80F3" w:rsidR="0000091E" w:rsidRDefault="00F26E1C" w:rsidP="0000091E">
      <w:hyperlink r:id="rId177" w:anchor="p_p_id_com_liferay_journal_content_web_portlet_JournalContentPortlet_INSTANCE_10309A20138_" w:history="1">
        <w:r w:rsidR="000E374A">
          <w:rPr>
            <w:rStyle w:val="Hyperlink"/>
          </w:rPr>
          <w:t>https://www.e-control.at/recht/bundesrecht/strom/verordnungen#p_p_id_com_liferay_journal_content_web_portlet_JournalContentPortlet_INSTANCE_10309A20138_</w:t>
        </w:r>
      </w:hyperlink>
    </w:p>
    <w:p w14:paraId="44068B51" w14:textId="77777777" w:rsidR="0000091E" w:rsidRDefault="0000091E" w:rsidP="0000091E"/>
    <w:p w14:paraId="4A1B737F" w14:textId="77777777" w:rsidR="00ED4130" w:rsidRDefault="00ED4130" w:rsidP="00ED4130">
      <w:pPr>
        <w:rPr>
          <w:rStyle w:val="Hyperlink"/>
        </w:rPr>
      </w:pPr>
      <w:r>
        <w:lastRenderedPageBreak/>
        <w:t xml:space="preserve">Elektrizitätsabgabegesetz: </w:t>
      </w:r>
      <w:hyperlink r:id="rId178" w:history="1">
        <w:r w:rsidRPr="00C30FE1">
          <w:rPr>
            <w:rStyle w:val="Hyperlink"/>
          </w:rPr>
          <w:t>http://www.ris.bka.gv.at/GeltendeFassung.wxe?Abfrage=Bundesnormen&amp;Gesetzesnummer=10005027</w:t>
        </w:r>
      </w:hyperlink>
    </w:p>
    <w:p w14:paraId="1A2ABD82" w14:textId="77777777" w:rsidR="00ED4130" w:rsidRDefault="00ED4130" w:rsidP="00ED4130">
      <w:pPr>
        <w:rPr>
          <w:rStyle w:val="Hyperlink"/>
          <w:color w:val="auto"/>
          <w:u w:val="none"/>
        </w:rPr>
      </w:pPr>
    </w:p>
    <w:p w14:paraId="74B4ED0E" w14:textId="22C6021B" w:rsidR="00ED4130" w:rsidRPr="00ED4130" w:rsidRDefault="00ED4130" w:rsidP="00A178D0">
      <w:pPr>
        <w:keepNext/>
        <w:rPr>
          <w:rStyle w:val="Hyperlink"/>
          <w:color w:val="auto"/>
          <w:u w:val="none"/>
        </w:rPr>
      </w:pPr>
      <w:r w:rsidRPr="00ED4130">
        <w:rPr>
          <w:rStyle w:val="Hyperlink"/>
          <w:color w:val="auto"/>
          <w:u w:val="none"/>
        </w:rPr>
        <w:t>Gebrauchsabgabe</w:t>
      </w:r>
      <w:r w:rsidR="00DA0B55">
        <w:rPr>
          <w:rStyle w:val="Hyperlink"/>
          <w:color w:val="auto"/>
          <w:u w:val="none"/>
        </w:rPr>
        <w:t xml:space="preserve"> – </w:t>
      </w:r>
      <w:r w:rsidRPr="00ED4130">
        <w:rPr>
          <w:rStyle w:val="Hyperlink"/>
          <w:color w:val="auto"/>
          <w:u w:val="none"/>
        </w:rPr>
        <w:t>Link</w:t>
      </w:r>
      <w:r w:rsidR="00DA0B55">
        <w:rPr>
          <w:rStyle w:val="Hyperlink"/>
          <w:color w:val="auto"/>
          <w:u w:val="none"/>
        </w:rPr>
        <w:t xml:space="preserve">sammlung </w:t>
      </w:r>
      <w:r w:rsidRPr="00ED4130">
        <w:rPr>
          <w:rStyle w:val="Hyperlink"/>
          <w:color w:val="auto"/>
          <w:u w:val="none"/>
        </w:rPr>
        <w:t xml:space="preserve">zur Landesgesetzgebung: </w:t>
      </w:r>
    </w:p>
    <w:p w14:paraId="5BF72134" w14:textId="77777777" w:rsidR="00ED4130" w:rsidRDefault="00F26E1C" w:rsidP="00ED4130">
      <w:pPr>
        <w:rPr>
          <w:rStyle w:val="Hyperlink"/>
        </w:rPr>
      </w:pPr>
      <w:hyperlink r:id="rId179" w:history="1">
        <w:r w:rsidR="00ED4130" w:rsidRPr="00881A14">
          <w:rPr>
            <w:rStyle w:val="Hyperlink"/>
          </w:rPr>
          <w:t>http://www.e-control.at/de/marktteilnehmer/strom/strommarkt/preise/steuern-und-abgaben/gebrauchsabgabe</w:t>
        </w:r>
      </w:hyperlink>
    </w:p>
    <w:p w14:paraId="32C1B01E" w14:textId="77777777" w:rsidR="00ED4130" w:rsidRDefault="00ED4130" w:rsidP="00ED4130">
      <w:pPr>
        <w:rPr>
          <w:rStyle w:val="Hyperlink"/>
          <w:color w:val="auto"/>
          <w:u w:val="none"/>
        </w:rPr>
      </w:pPr>
    </w:p>
    <w:p w14:paraId="4B8E3BC6" w14:textId="77777777" w:rsidR="00ED4130" w:rsidRPr="00C025BD" w:rsidRDefault="00ED4130" w:rsidP="00ED4130">
      <w:pPr>
        <w:rPr>
          <w:rStyle w:val="Hyperlink"/>
          <w:color w:val="auto"/>
          <w:u w:val="none"/>
        </w:rPr>
      </w:pPr>
      <w:r w:rsidRPr="00ED4130">
        <w:rPr>
          <w:rStyle w:val="Hyperlink"/>
          <w:color w:val="auto"/>
          <w:u w:val="none"/>
        </w:rPr>
        <w:t xml:space="preserve">Umsatzsteuergesetzgebung </w:t>
      </w:r>
      <w:r w:rsidR="00DA0B55">
        <w:rPr>
          <w:rStyle w:val="Hyperlink"/>
          <w:color w:val="auto"/>
          <w:u w:val="none"/>
        </w:rPr>
        <w:t xml:space="preserve">– </w:t>
      </w:r>
      <w:r>
        <w:rPr>
          <w:rStyle w:val="Hyperlink"/>
          <w:color w:val="auto"/>
          <w:u w:val="none"/>
        </w:rPr>
        <w:t>Link</w:t>
      </w:r>
      <w:r w:rsidR="00DA0B55">
        <w:rPr>
          <w:rStyle w:val="Hyperlink"/>
          <w:color w:val="auto"/>
          <w:u w:val="none"/>
        </w:rPr>
        <w:t xml:space="preserve">sammlung </w:t>
      </w:r>
      <w:r>
        <w:rPr>
          <w:rStyle w:val="Hyperlink"/>
          <w:color w:val="auto"/>
          <w:u w:val="none"/>
        </w:rPr>
        <w:t xml:space="preserve">zu </w:t>
      </w:r>
      <w:r w:rsidRPr="00C025BD">
        <w:rPr>
          <w:rStyle w:val="Hyperlink"/>
          <w:color w:val="auto"/>
          <w:u w:val="none"/>
        </w:rPr>
        <w:t xml:space="preserve">Verordnungen, Erlässe, Protokolle und Informationen betreffend die Umsatzsteuer: </w:t>
      </w:r>
    </w:p>
    <w:p w14:paraId="4F4D325F" w14:textId="77777777" w:rsidR="00E27C59" w:rsidRDefault="00F26E1C" w:rsidP="00E27C59">
      <w:pPr>
        <w:rPr>
          <w:szCs w:val="22"/>
        </w:rPr>
      </w:pPr>
      <w:hyperlink r:id="rId180" w:history="1">
        <w:r w:rsidR="00E27C59">
          <w:rPr>
            <w:rStyle w:val="Hyperlink"/>
          </w:rPr>
          <w:t>https://www.bmf.gv.at/themen/steuern/fuer-unternehmen/umsatzsteuer.html</w:t>
        </w:r>
      </w:hyperlink>
    </w:p>
    <w:p w14:paraId="24ACA330" w14:textId="77777777" w:rsidR="00ED4130" w:rsidRDefault="00ED4130" w:rsidP="0000091E"/>
    <w:p w14:paraId="4230312A" w14:textId="4A53C6D7" w:rsidR="0000091E" w:rsidRDefault="0000091E" w:rsidP="000E374A">
      <w:r>
        <w:t>Elektrizitätsstatistik-VO</w:t>
      </w:r>
      <w:r w:rsidR="00E07727">
        <w:t xml:space="preserve"> 2016 und </w:t>
      </w:r>
      <w:r>
        <w:t>Erläuterungen zur Elektrizitätsstatistik-VO</w:t>
      </w:r>
      <w:r w:rsidR="00E07727">
        <w:t xml:space="preserve"> 2016:</w:t>
      </w:r>
      <w:r w:rsidR="000E374A">
        <w:br/>
      </w:r>
      <w:hyperlink r:id="rId181" w:anchor="p_p_id_com_liferay_journal_content_web_portlet_JournalContentPortlet_INSTANCE_10309A20134_" w:history="1">
        <w:r w:rsidR="000E374A">
          <w:rPr>
            <w:rStyle w:val="Hyperlink"/>
          </w:rPr>
          <w:t>https://www.e-control.at/de/recht/bundesrecht/strom/verordnungen#p_p_id_com_liferay_journal_content_web_portlet_JournalContentPortlet_INSTANCE_10309A20134_</w:t>
        </w:r>
      </w:hyperlink>
    </w:p>
    <w:p w14:paraId="4DDAE12A" w14:textId="77777777" w:rsidR="00E07727" w:rsidRDefault="00E07727" w:rsidP="0000091E"/>
    <w:p w14:paraId="60FCD7FB" w14:textId="0B001168" w:rsidR="0067366C" w:rsidRDefault="0000091E" w:rsidP="0000091E">
      <w:r w:rsidRPr="006638D6">
        <w:t xml:space="preserve">Elektrizitäts-Energielenkungsdaten-Verordnung </w:t>
      </w:r>
      <w:r w:rsidR="0067366C">
        <w:t>201</w:t>
      </w:r>
      <w:r w:rsidR="002E4225">
        <w:t>7</w:t>
      </w:r>
      <w:r w:rsidR="0067366C">
        <w:t xml:space="preserve"> </w:t>
      </w:r>
      <w:r w:rsidR="00822CF4">
        <w:t>(</w:t>
      </w:r>
      <w:r w:rsidR="0067366C" w:rsidRPr="001E1792">
        <w:t>E-</w:t>
      </w:r>
      <w:proofErr w:type="spellStart"/>
      <w:r w:rsidR="0067366C" w:rsidRPr="001E1792">
        <w:t>EnLD</w:t>
      </w:r>
      <w:proofErr w:type="spellEnd"/>
      <w:r w:rsidR="0067366C" w:rsidRPr="001E1792">
        <w:t>-VO 201</w:t>
      </w:r>
      <w:r w:rsidR="003A6F1C">
        <w:t>7</w:t>
      </w:r>
      <w:r w:rsidR="00822CF4">
        <w:t>)</w:t>
      </w:r>
      <w:r w:rsidR="008029EB">
        <w:t xml:space="preserve"> und </w:t>
      </w:r>
      <w:r w:rsidR="0067366C">
        <w:t xml:space="preserve">Erläuterungen zu </w:t>
      </w:r>
      <w:r w:rsidR="008029EB" w:rsidRPr="001E1792">
        <w:t>E-</w:t>
      </w:r>
      <w:proofErr w:type="spellStart"/>
      <w:r w:rsidR="008029EB" w:rsidRPr="001E1792">
        <w:t>EnLD</w:t>
      </w:r>
      <w:proofErr w:type="spellEnd"/>
      <w:r w:rsidR="008029EB" w:rsidRPr="001E1792">
        <w:t>-VO</w:t>
      </w:r>
      <w:r w:rsidR="008029EB">
        <w:t xml:space="preserve"> 201</w:t>
      </w:r>
      <w:r w:rsidR="002E4225">
        <w:t>7</w:t>
      </w:r>
      <w:r w:rsidR="0067366C">
        <w:t>:</w:t>
      </w:r>
      <w:r w:rsidR="0067366C">
        <w:br/>
      </w:r>
      <w:r w:rsidR="000E374A" w:rsidRPr="000E374A">
        <w:t xml:space="preserve"> </w:t>
      </w:r>
      <w:hyperlink r:id="rId182" w:anchor="p_p_id_com_liferay_journal_content_web_portlet_JournalContentPortlet_INSTANCE_10309A20133_" w:history="1">
        <w:r w:rsidR="000E374A">
          <w:rPr>
            <w:rStyle w:val="Hyperlink"/>
          </w:rPr>
          <w:t>https://www.e-control.at/de/recht/bundesrecht/strom/verordnungen#p_p_id_com_liferay_journal_content_web_portlet_JournalContentPortlet_INSTANCE_10309A20133_</w:t>
        </w:r>
      </w:hyperlink>
    </w:p>
    <w:p w14:paraId="5EF69C36" w14:textId="77777777" w:rsidR="0000091E" w:rsidRDefault="0000091E" w:rsidP="0000091E"/>
    <w:p w14:paraId="35D3B044" w14:textId="77777777" w:rsidR="0000091E" w:rsidRDefault="008029EB" w:rsidP="00250DAC">
      <w:pPr>
        <w:keepNext/>
      </w:pPr>
      <w:r>
        <w:t>S</w:t>
      </w:r>
      <w:r w:rsidR="0000091E" w:rsidRPr="002A37C2">
        <w:t>ystemnutzungsentgelte-Verordnung 201</w:t>
      </w:r>
      <w:r w:rsidR="00AE2025">
        <w:t>8:</w:t>
      </w:r>
    </w:p>
    <w:p w14:paraId="29C094E5" w14:textId="066E8C69" w:rsidR="00C8727C" w:rsidRDefault="00F26E1C" w:rsidP="0000091E">
      <w:hyperlink r:id="rId183" w:anchor="p_p_id_com_liferay_journal_content_web_portlet_JournalContentPortlet_INSTANCE_imJ3XfayauI8_" w:history="1">
        <w:r w:rsidR="00C8727C">
          <w:rPr>
            <w:rStyle w:val="Hyperlink"/>
          </w:rPr>
          <w:t>https://www.e-control.at/de/recht/bundesrecht/strom/verordnungen#p_p_id_com_liferay_journal_content_web_portlet_JournalContentPortlet_INSTANCE_imJ3XfayauI8_</w:t>
        </w:r>
      </w:hyperlink>
    </w:p>
    <w:p w14:paraId="368F614B" w14:textId="77777777" w:rsidR="00250DAC" w:rsidRDefault="00250DAC" w:rsidP="0000091E"/>
    <w:p w14:paraId="359459C8" w14:textId="77777777" w:rsidR="009A558C" w:rsidRDefault="0000091E" w:rsidP="009A558C">
      <w:r w:rsidRPr="00C7432F">
        <w:t>Sonstige Marktregeln Strom</w:t>
      </w:r>
      <w:r w:rsidR="00690062">
        <w:t xml:space="preserve"> (</w:t>
      </w:r>
      <w:proofErr w:type="spellStart"/>
      <w:r w:rsidR="00690062">
        <w:t>SoMa</w:t>
      </w:r>
      <w:proofErr w:type="spellEnd"/>
      <w:r w:rsidR="00690062">
        <w:t>)</w:t>
      </w:r>
      <w:r w:rsidR="00DA0B55">
        <w:t>:</w:t>
      </w:r>
    </w:p>
    <w:p w14:paraId="174517D7" w14:textId="77777777" w:rsidR="00E76F5F" w:rsidRDefault="00F26E1C" w:rsidP="00BB0F48">
      <w:hyperlink r:id="rId184" w:anchor="p_p_id_56_INSTANCE_10318A20066_" w:history="1">
        <w:r w:rsidR="00E76F5F" w:rsidRPr="00157EAF">
          <w:rPr>
            <w:rStyle w:val="Hyperlink"/>
          </w:rPr>
          <w:t>https://www.e-control.at/recht/marktregeln/sonstige-marktregeln-strom#p_p_id_56_INSTANCE_10318A20066_</w:t>
        </w:r>
      </w:hyperlink>
    </w:p>
    <w:p w14:paraId="21C1BEB4" w14:textId="5A0D4A92" w:rsidR="00294E3E" w:rsidRDefault="009A558C" w:rsidP="0000091E">
      <w:proofErr w:type="spellStart"/>
      <w:r>
        <w:t>SoMa</w:t>
      </w:r>
      <w:proofErr w:type="spellEnd"/>
      <w:r>
        <w:t xml:space="preserve"> </w:t>
      </w:r>
      <w:r w:rsidR="0000091E" w:rsidRPr="00C7432F">
        <w:t>Kapitel 3</w:t>
      </w:r>
      <w:r w:rsidR="00DA0B55">
        <w:t xml:space="preserve"> –</w:t>
      </w:r>
      <w:r>
        <w:t xml:space="preserve"> Fahrpläne</w:t>
      </w:r>
      <w:r>
        <w:br/>
      </w:r>
    </w:p>
    <w:p w14:paraId="20BDD243" w14:textId="1EF1F7B7" w:rsidR="0000091E" w:rsidRDefault="0000091E" w:rsidP="0000091E">
      <w:pPr>
        <w:rPr>
          <w:rStyle w:val="Hyperlink"/>
        </w:rPr>
      </w:pPr>
      <w:r w:rsidRPr="00EA5598">
        <w:t>Allgemeine Bedingungen für Bilanzgruppenkoordinatoren (</w:t>
      </w:r>
      <w:r w:rsidR="00690062">
        <w:t>AB-</w:t>
      </w:r>
      <w:r w:rsidRPr="00EA5598">
        <w:t>BKO)</w:t>
      </w:r>
      <w:r>
        <w:t xml:space="preserve"> im Strommarkt: </w:t>
      </w:r>
    </w:p>
    <w:bookmarkStart w:id="117" w:name="_Hlk509408428"/>
    <w:p w14:paraId="5AF2DB63" w14:textId="58FA27AF" w:rsidR="00215395" w:rsidRDefault="00215395" w:rsidP="0000091E">
      <w:r>
        <w:fldChar w:fldCharType="begin"/>
      </w:r>
      <w:r>
        <w:instrText xml:space="preserve"> HYPERLINK "</w:instrText>
      </w:r>
      <w:r w:rsidRPr="00215395">
        <w:instrText>https://www.apcs.at/de/regelwerk/marktregeln/aktuelle_version</w:instrText>
      </w:r>
      <w:r>
        <w:instrText xml:space="preserve">" </w:instrText>
      </w:r>
      <w:r>
        <w:fldChar w:fldCharType="separate"/>
      </w:r>
      <w:r w:rsidRPr="00F158E2">
        <w:rPr>
          <w:rStyle w:val="Hyperlink"/>
        </w:rPr>
        <w:t>https://www.apcs.at/de/regelwerk/marktregeln/aktuelle_version</w:t>
      </w:r>
      <w:r>
        <w:fldChar w:fldCharType="end"/>
      </w:r>
      <w:r>
        <w:t xml:space="preserve"> </w:t>
      </w:r>
    </w:p>
    <w:bookmarkEnd w:id="117"/>
    <w:p w14:paraId="2D382A22" w14:textId="77777777" w:rsidR="0000091E" w:rsidRDefault="0000091E" w:rsidP="0000091E"/>
    <w:p w14:paraId="5EB5335D" w14:textId="77777777" w:rsidR="00BB0F48" w:rsidRDefault="00F34CE8" w:rsidP="005B22D5">
      <w:r>
        <w:t xml:space="preserve">Allgemeine Bedingungen der Ökostromabwicklungsstelle (AB-ÖKO): </w:t>
      </w:r>
    </w:p>
    <w:p w14:paraId="68806EE5" w14:textId="4AF2A63E" w:rsidR="00CB546E" w:rsidRDefault="00F26E1C" w:rsidP="005B22D5">
      <w:pPr>
        <w:rPr>
          <w:rFonts w:ascii="Helv" w:hAnsi="Helv" w:cs="Helv"/>
          <w:color w:val="000000"/>
          <w:sz w:val="20"/>
          <w:szCs w:val="20"/>
          <w:lang w:val="de-DE"/>
        </w:rPr>
      </w:pPr>
      <w:hyperlink r:id="rId185" w:anchor="p_p_id_com_liferay_journal_content_web_portlet_JournalContentPortlet_INSTANCE_33LpLeJltkOX_" w:history="1">
        <w:r w:rsidR="00C8727C">
          <w:rPr>
            <w:rStyle w:val="Hyperlink"/>
          </w:rPr>
          <w:t>https://www.e-control.at/recht/allgemeine-bedingungen/allgemeine-bedingungen-strom#p_p_id_com_liferay_journal_content_web_portlet_JournalContentPortlet_INSTANCE_33LpLeJltkOX_</w:t>
        </w:r>
      </w:hyperlink>
    </w:p>
    <w:p w14:paraId="222B278D" w14:textId="77777777" w:rsidR="00BB0F48" w:rsidRDefault="00BB0F48" w:rsidP="005B22D5">
      <w:pPr>
        <w:rPr>
          <w:rFonts w:ascii="Helv" w:hAnsi="Helv" w:cs="Helv"/>
          <w:color w:val="000000"/>
          <w:sz w:val="20"/>
          <w:szCs w:val="20"/>
          <w:lang w:val="de-DE"/>
        </w:rPr>
      </w:pPr>
    </w:p>
    <w:p w14:paraId="6C991653" w14:textId="39FDBF5F" w:rsidR="00880BDA" w:rsidRDefault="00880BDA">
      <w:pPr>
        <w:spacing w:line="240" w:lineRule="auto"/>
        <w:rPr>
          <w:b/>
          <w:noProof/>
          <w:sz w:val="24"/>
          <w:szCs w:val="20"/>
          <w:lang w:val="de-DE"/>
        </w:rPr>
      </w:pPr>
      <w:r>
        <w:br w:type="page"/>
      </w:r>
    </w:p>
    <w:p w14:paraId="47FA60A5" w14:textId="77777777" w:rsidR="00E2080E" w:rsidRDefault="00E2080E" w:rsidP="00E2080E">
      <w:pPr>
        <w:pStyle w:val="berschrift2"/>
        <w:keepNext/>
      </w:pPr>
      <w:bookmarkStart w:id="118" w:name="_Toc31376468"/>
      <w:r>
        <w:lastRenderedPageBreak/>
        <w:t>Auszug rechtsrelevanter Texte</w:t>
      </w:r>
      <w:bookmarkEnd w:id="118"/>
    </w:p>
    <w:p w14:paraId="6B5A6265" w14:textId="77777777" w:rsidR="00E2080E" w:rsidRDefault="00E2080E" w:rsidP="00E2080E">
      <w:pPr>
        <w:pStyle w:val="berschrift3"/>
        <w:keepNext/>
      </w:pPr>
      <w:bookmarkStart w:id="119" w:name="_AB_VNB_(Musterfassung)"/>
      <w:bookmarkStart w:id="120" w:name="_Toc379201296"/>
      <w:bookmarkStart w:id="121" w:name="_Toc421610450"/>
      <w:bookmarkStart w:id="122" w:name="_Toc31376469"/>
      <w:bookmarkEnd w:id="119"/>
      <w:r w:rsidRPr="00291FF4">
        <w:t>AB VNB (Musterfassung) unter XIX</w:t>
      </w:r>
      <w:r>
        <w:t xml:space="preserve"> </w:t>
      </w:r>
      <w:r w:rsidRPr="00291FF4">
        <w:t>Rechnungslegung</w:t>
      </w:r>
      <w:bookmarkEnd w:id="120"/>
      <w:bookmarkEnd w:id="121"/>
      <w:bookmarkEnd w:id="122"/>
    </w:p>
    <w:p w14:paraId="057DAF56" w14:textId="77777777" w:rsidR="00E2080E" w:rsidRDefault="00E2080E" w:rsidP="00E2080E">
      <w:pPr>
        <w:keepNext/>
      </w:pPr>
      <w:r>
        <w:t xml:space="preserve">1.   …..    Der Netzbetreiber hat die Rechnung über die Systemnutzungsentgelte innerhalb von vier Wochen an den Lieferanten zu übermitteln, sofern der Lieferant auch die Rechnung über die Netznutzung legt. </w:t>
      </w:r>
    </w:p>
    <w:p w14:paraId="41BC266C" w14:textId="05A712B7" w:rsidR="00E2080E" w:rsidRDefault="00E2080E" w:rsidP="00E2080E">
      <w:r>
        <w:t xml:space="preserve">10. Wenn eine Vereinbarung zwischen Lieferant, Netzbetreiber und Netzkunden betreffend die Anwendung des „Vorleistungsmodells“ gemäß RZ 1536 UStR 2000 vorliegt, so ist die Rechnungsausstellung bzw. -übermittlung in einer Form vorzunehmen, die es dem Lieferanten ermöglicht, gemäß § 12 UStG den Vorsteuerabzug vorzunehmen. Die Rechnungen werden in diesem Fall direkt an den Lieferanten des Netzkunden gesendet. Der Lieferant bezahlt diese Rechnung und legt an den Netzkunden eine Gesamtrechnung bestehend aus Energie- und Netzentgelten. Der Lieferant wird durch die Anwendung des Vorleistungsmodels nicht Schuldner des Netzbetreibers. Der Netzbetreiber </w:t>
      </w:r>
      <w:r w:rsidR="005A53AB">
        <w:t xml:space="preserve">hat die den Rechnungen zugrunde </w:t>
      </w:r>
      <w:r>
        <w:t>liegenden Daten im in den Sonstigen Marktregeln festgelegten Format dem Lieferanten elektronisch zu übermitteln, wobei sichergestellt sein muss, dass die übermittelten Daten der Netzrechnungen (insbesondere hinsichtlich der verbrauchten Energie) mit den übermittelten Daten der entnommenen Energie übereinstimmen.</w:t>
      </w:r>
    </w:p>
    <w:p w14:paraId="6A1ACF34" w14:textId="77777777" w:rsidR="00E2080E" w:rsidRDefault="00E2080E" w:rsidP="00E2080E">
      <w:pPr>
        <w:pStyle w:val="berschrift3"/>
        <w:rPr>
          <w:lang w:val="de-AT"/>
        </w:rPr>
      </w:pPr>
      <w:bookmarkStart w:id="123" w:name="_Randziffer_1536_UStR"/>
      <w:bookmarkStart w:id="124" w:name="_Toc379201297"/>
      <w:bookmarkStart w:id="125" w:name="_Toc421610451"/>
      <w:bookmarkStart w:id="126" w:name="_Toc31376470"/>
      <w:bookmarkEnd w:id="123"/>
      <w:r>
        <w:rPr>
          <w:lang w:val="de-AT"/>
        </w:rPr>
        <w:t xml:space="preserve">Randziffer </w:t>
      </w:r>
      <w:r w:rsidRPr="00291FF4">
        <w:rPr>
          <w:lang w:val="de-AT"/>
        </w:rPr>
        <w:t>1536 UStR 2000 Abs 2</w:t>
      </w:r>
      <w:bookmarkEnd w:id="124"/>
      <w:bookmarkEnd w:id="125"/>
      <w:bookmarkEnd w:id="126"/>
    </w:p>
    <w:p w14:paraId="218BF328" w14:textId="77777777" w:rsidR="00E2080E" w:rsidRDefault="00E2080E" w:rsidP="00E2080E">
      <w:r w:rsidRPr="00291FF4">
        <w:t xml:space="preserve">Abweichend von den zivilrechtlichen Verhältnissen wird für umsatzsteuerliche Zwecke die Leistung des Netzbetreibers als für den Stromlieferanten erbracht angesehen, wenn eine vertragliche Vereinbarung zwischen Stromlieferanten, Netzbetreiber und Kunden über die Anwendung dieser Vereinfachungsmöglichkeit getroffen wird. In diesem Fall legt der Netzbetreiber seine Rechnung im Sinne des § 11 UStG 1994 an den Stromlieferanten, welcher seinerseits eine Rechnung über Stromlieferung und die Netzbereitstellung an den Endkunden ausstellt. Dabei ist es ausreichend, wenn der Netzbetreiber die für Kunden eines Stromlieferanten erbrachten Netzdienstleistungen in einer Sammelrechnung im Sinne des§ 11 Abs. 1 Z 4 UStG 1994 oder durch elektronischen Rechnungsdatenaustausch gemäß </w:t>
      </w:r>
      <w:proofErr w:type="spellStart"/>
      <w:r w:rsidRPr="00291FF4">
        <w:t>Rz</w:t>
      </w:r>
      <w:proofErr w:type="spellEnd"/>
      <w:r w:rsidRPr="00291FF4">
        <w:t xml:space="preserve"> 1561 bis </w:t>
      </w:r>
      <w:proofErr w:type="spellStart"/>
      <w:r w:rsidRPr="00291FF4">
        <w:t>Rz</w:t>
      </w:r>
      <w:proofErr w:type="spellEnd"/>
      <w:r w:rsidRPr="00291FF4">
        <w:t xml:space="preserve"> 1563 abrechnet. Hinsichtlich der Netzbereitstellung hat der Lieferant den Vorsteuerabzug. Der Stromlieferant versteuert seinerseits sowohl die Stromlieferung als auch die Netzbereitstellung. Der Endkunde hat nach Maßgabe des § 12 UStG 1994 den Vorsteuerabzug aus der vom Stromlieferanten ausgestellten Rechnung. Diese Vorgangsweise kann nur solange angewendet werden, als eine Vereinbarung über ihre Anwendung zwischen dem Stromlieferanten, dem Netzbetreiber und dem Kunden besteht.</w:t>
      </w:r>
    </w:p>
    <w:p w14:paraId="10FC0346" w14:textId="77777777" w:rsidR="00E2080E" w:rsidRPr="00E2080E" w:rsidRDefault="00E2080E" w:rsidP="00E2080E"/>
    <w:sectPr w:rsidR="00E2080E" w:rsidRPr="00E2080E" w:rsidSect="0000091E">
      <w:headerReference w:type="default" r:id="rId186"/>
      <w:footerReference w:type="default" r:id="rId187"/>
      <w:pgSz w:w="11906" w:h="16838" w:code="9"/>
      <w:pgMar w:top="1440" w:right="924" w:bottom="179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DD137" w14:textId="77777777" w:rsidR="002E0AD7" w:rsidRDefault="002E0AD7">
      <w:r>
        <w:separator/>
      </w:r>
    </w:p>
  </w:endnote>
  <w:endnote w:type="continuationSeparator" w:id="0">
    <w:p w14:paraId="0E175889" w14:textId="77777777" w:rsidR="002E0AD7" w:rsidRDefault="002E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877FB" w14:textId="78384520" w:rsidR="002E0AD7" w:rsidRPr="00204E9A" w:rsidRDefault="002E0AD7" w:rsidP="00D46384">
    <w:pPr>
      <w:pStyle w:val="Fuzeile"/>
      <w:tabs>
        <w:tab w:val="clear" w:pos="4536"/>
        <w:tab w:val="clear" w:pos="9072"/>
        <w:tab w:val="left" w:pos="0"/>
        <w:tab w:val="center" w:pos="4500"/>
      </w:tabs>
      <w:rPr>
        <w:lang w:val="de-DE"/>
      </w:rPr>
    </w:pPr>
    <w:r>
      <w:t>Stand: Feb 2021</w:t>
    </w:r>
    <w:r>
      <w:rPr>
        <w:rStyle w:val="Seitenzahl"/>
      </w:rPr>
      <w:tab/>
    </w:r>
    <w:r>
      <w:rPr>
        <w:rStyle w:val="Seitenzahl"/>
      </w:rPr>
      <w:tab/>
    </w:r>
    <w:r>
      <w:rPr>
        <w:rStyle w:val="Seitenzahl"/>
      </w:rPr>
      <w:tab/>
    </w:r>
    <w:r>
      <w:rPr>
        <w:rStyle w:val="Seitenzahl"/>
      </w:rPr>
      <w:tab/>
    </w:r>
    <w:r>
      <w:rPr>
        <w:rStyle w:val="Seitenzahl"/>
      </w:rPr>
      <w:tab/>
    </w:r>
    <w:r>
      <w:rPr>
        <w:rStyle w:val="Seitenzahl"/>
      </w:rPr>
      <w:tab/>
    </w:r>
    <w:r>
      <w:rPr>
        <w:rStyle w:val="Seitenzahl"/>
      </w:rPr>
      <w:tab/>
      <w:t xml:space="preserve"> Seite </w:t>
    </w: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Pr>
        <w:rStyle w:val="Seitenzahl"/>
        <w:noProof/>
      </w:rPr>
      <w:t>7</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A8821" w14:textId="77777777" w:rsidR="002E0AD7" w:rsidRDefault="002E0AD7">
    <w:pPr>
      <w:pStyle w:val="Fuzeile"/>
      <w:jc w:val="cente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D3A26" w14:textId="00267448" w:rsidR="002E0AD7" w:rsidRDefault="002E0AD7" w:rsidP="00D46384">
    <w:pPr>
      <w:pStyle w:val="Fuzeile"/>
      <w:tabs>
        <w:tab w:val="clear" w:pos="4536"/>
        <w:tab w:val="clear" w:pos="9072"/>
        <w:tab w:val="left" w:pos="0"/>
        <w:tab w:val="center" w:pos="4500"/>
      </w:tabs>
      <w:rPr>
        <w:lang w:val="en-GB"/>
      </w:rPr>
    </w:pPr>
    <w:r>
      <w:t>Stand: Feb 2021</w:t>
    </w:r>
    <w:r>
      <w:tab/>
    </w:r>
    <w:r>
      <w:tab/>
    </w:r>
    <w:r>
      <w:rPr>
        <w:rStyle w:val="Seitenzahl"/>
      </w:rPr>
      <w:tab/>
    </w:r>
    <w:r>
      <w:rPr>
        <w:rStyle w:val="Seitenzahl"/>
      </w:rPr>
      <w:tab/>
    </w:r>
    <w:r>
      <w:rPr>
        <w:rStyle w:val="Seitenzahl"/>
      </w:rPr>
      <w:tab/>
    </w:r>
    <w:r>
      <w:rPr>
        <w:rStyle w:val="Seitenzahl"/>
      </w:rPr>
      <w:tab/>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44</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Pr>
        <w:rStyle w:val="Seitenzahl"/>
        <w:noProof/>
      </w:rPr>
      <w:t>52</w:t>
    </w:r>
    <w:r>
      <w:rPr>
        <w:rStyle w:val="Seitenzah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D0054" w14:textId="77777777" w:rsidR="002E0AD7" w:rsidRDefault="002E0AD7">
    <w:pPr>
      <w:pStyle w:val="Fuzeile"/>
      <w:jc w:val="cente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334AD" w14:textId="5E47A6F3" w:rsidR="002E0AD7" w:rsidRDefault="002E0AD7" w:rsidP="0069352A">
    <w:pPr>
      <w:pStyle w:val="Fuzeile"/>
      <w:tabs>
        <w:tab w:val="clear" w:pos="4536"/>
        <w:tab w:val="clear" w:pos="9072"/>
        <w:tab w:val="left" w:pos="0"/>
        <w:tab w:val="left" w:pos="7920"/>
        <w:tab w:val="left" w:pos="13320"/>
      </w:tabs>
      <w:ind w:right="-36"/>
      <w:jc w:val="left"/>
    </w:pPr>
    <w:r>
      <w:t>Stand</w:t>
    </w:r>
    <w:r w:rsidRPr="00C545DF">
      <w:t xml:space="preserve">: </w:t>
    </w:r>
    <w:r>
      <w:t>Feb 2021</w:t>
    </w:r>
    <w:r>
      <w:tab/>
      <w:t xml:space="preserve">           Seite </w:t>
    </w:r>
    <w:r>
      <w:rPr>
        <w:rStyle w:val="Seitenzahl"/>
      </w:rPr>
      <w:fldChar w:fldCharType="begin"/>
    </w:r>
    <w:r>
      <w:rPr>
        <w:rStyle w:val="Seitenzahl"/>
      </w:rPr>
      <w:instrText xml:space="preserve"> PAGE </w:instrText>
    </w:r>
    <w:r>
      <w:rPr>
        <w:rStyle w:val="Seitenzahl"/>
      </w:rPr>
      <w:fldChar w:fldCharType="separate"/>
    </w:r>
    <w:r>
      <w:rPr>
        <w:rStyle w:val="Seitenzahl"/>
        <w:noProof/>
      </w:rPr>
      <w:t>52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Pr>
        <w:rStyle w:val="Seitenzahl"/>
        <w:noProof/>
      </w:rPr>
      <w:t>52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6C5A0" w14:textId="77777777" w:rsidR="002E0AD7" w:rsidRDefault="002E0AD7">
      <w:r>
        <w:separator/>
      </w:r>
    </w:p>
  </w:footnote>
  <w:footnote w:type="continuationSeparator" w:id="0">
    <w:p w14:paraId="666467A5" w14:textId="77777777" w:rsidR="002E0AD7" w:rsidRDefault="002E0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ACD3A" w14:textId="77777777" w:rsidR="002E0AD7" w:rsidRDefault="002E0AD7">
    <w:pPr>
      <w:pStyle w:val="Kopfzeile"/>
    </w:pPr>
  </w:p>
  <w:p w14:paraId="1DD019A4" w14:textId="77777777" w:rsidR="002E0AD7" w:rsidRDefault="002E0A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5A9C7" w14:textId="77777777" w:rsidR="002E0AD7" w:rsidRDefault="002E0AD7">
    <w:pPr>
      <w:pStyle w:val="Kopfzeile"/>
    </w:pPr>
    <w:r>
      <w:t>Markteintritt – Stromhändler und Lieferant</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2534A" w14:textId="77777777" w:rsidR="002E0AD7" w:rsidRDefault="002E0AD7">
    <w:pPr>
      <w:pStyle w:val="Kopfzeile"/>
    </w:pPr>
    <w:r>
      <w:rPr>
        <w:noProof/>
        <w:lang w:eastAsia="de-AT"/>
      </w:rPr>
      <w:drawing>
        <wp:anchor distT="0" distB="0" distL="114300" distR="114300" simplePos="0" relativeHeight="251657216" behindDoc="0" locked="0" layoutInCell="1" allowOverlap="1" wp14:anchorId="5CF4FFCF" wp14:editId="3E0689D5">
          <wp:simplePos x="0" y="0"/>
          <wp:positionH relativeFrom="column">
            <wp:posOffset>4686300</wp:posOffset>
          </wp:positionH>
          <wp:positionV relativeFrom="paragraph">
            <wp:posOffset>-107315</wp:posOffset>
          </wp:positionV>
          <wp:extent cx="1429385" cy="413385"/>
          <wp:effectExtent l="0" t="0" r="0" b="5715"/>
          <wp:wrapTopAndBottom/>
          <wp:docPr id="10" name="Bild 10" descr="RZ Logo-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Z Logo-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385" cy="413385"/>
                  </a:xfrm>
                  <a:prstGeom prst="rect">
                    <a:avLst/>
                  </a:prstGeom>
                  <a:solidFill>
                    <a:srgbClr val="B2B2B2"/>
                  </a:solidFill>
                </pic:spPr>
              </pic:pic>
            </a:graphicData>
          </a:graphic>
        </wp:anchor>
      </w:drawing>
    </w:r>
    <w:r>
      <w:t>Markteintritt Strom – Händler und Lieferant</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416F"/>
    <w:multiLevelType w:val="hybridMultilevel"/>
    <w:tmpl w:val="FBE4F6B0"/>
    <w:lvl w:ilvl="0" w:tplc="0407000F">
      <w:start w:val="1"/>
      <w:numFmt w:val="decimal"/>
      <w:lvlText w:val="%1."/>
      <w:lvlJc w:val="left"/>
      <w:pPr>
        <w:ind w:left="720" w:hanging="360"/>
      </w:pPr>
    </w:lvl>
    <w:lvl w:ilvl="1" w:tplc="82300CDE">
      <w:numFmt w:val="bullet"/>
      <w:lvlText w:val="•"/>
      <w:lvlJc w:val="left"/>
      <w:pPr>
        <w:ind w:left="1500" w:hanging="420"/>
      </w:pPr>
      <w:rPr>
        <w:rFonts w:ascii="Arial" w:eastAsia="Times New Roman"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2456B4"/>
    <w:multiLevelType w:val="hybridMultilevel"/>
    <w:tmpl w:val="B66A9F7E"/>
    <w:lvl w:ilvl="0" w:tplc="43A46268">
      <w:start w:val="1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7E4F7E"/>
    <w:multiLevelType w:val="hybridMultilevel"/>
    <w:tmpl w:val="10AE20DA"/>
    <w:lvl w:ilvl="0" w:tplc="055C0D3C">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035920DE"/>
    <w:multiLevelType w:val="multilevel"/>
    <w:tmpl w:val="F23A1B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4" w15:restartNumberingAfterBreak="0">
    <w:nsid w:val="097B5A84"/>
    <w:multiLevelType w:val="hybridMultilevel"/>
    <w:tmpl w:val="8C1EC5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A21DF5"/>
    <w:multiLevelType w:val="hybridMultilevel"/>
    <w:tmpl w:val="5E460DE0"/>
    <w:lvl w:ilvl="0" w:tplc="D240624C">
      <w:start w:val="1"/>
      <w:numFmt w:val="decimal"/>
      <w:lvlText w:val="%1."/>
      <w:lvlJc w:val="left"/>
      <w:pPr>
        <w:ind w:left="1413" w:hanging="705"/>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6" w15:restartNumberingAfterBreak="0">
    <w:nsid w:val="0D95344A"/>
    <w:multiLevelType w:val="hybridMultilevel"/>
    <w:tmpl w:val="76ECC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805C6E"/>
    <w:multiLevelType w:val="hybridMultilevel"/>
    <w:tmpl w:val="67BAD5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1D2F68"/>
    <w:multiLevelType w:val="hybridMultilevel"/>
    <w:tmpl w:val="D9E6FB34"/>
    <w:lvl w:ilvl="0" w:tplc="B4B2BD0E">
      <w:start w:val="1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D0C7F94"/>
    <w:multiLevelType w:val="hybridMultilevel"/>
    <w:tmpl w:val="43A21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CA11AA"/>
    <w:multiLevelType w:val="hybridMultilevel"/>
    <w:tmpl w:val="C734A8F4"/>
    <w:lvl w:ilvl="0" w:tplc="65ACF43C">
      <w:start w:val="17"/>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3AB7416"/>
    <w:multiLevelType w:val="hybridMultilevel"/>
    <w:tmpl w:val="E3DACD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4C81160"/>
    <w:multiLevelType w:val="hybridMultilevel"/>
    <w:tmpl w:val="970891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9006867"/>
    <w:multiLevelType w:val="hybridMultilevel"/>
    <w:tmpl w:val="AEE032D0"/>
    <w:lvl w:ilvl="0" w:tplc="40C651CC">
      <w:start w:val="12"/>
      <w:numFmt w:val="upperLetter"/>
      <w:lvlText w:val="%1)"/>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9077057"/>
    <w:multiLevelType w:val="hybridMultilevel"/>
    <w:tmpl w:val="0DE44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BCB131E"/>
    <w:multiLevelType w:val="hybridMultilevel"/>
    <w:tmpl w:val="2F1CA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FE162C4"/>
    <w:multiLevelType w:val="multilevel"/>
    <w:tmpl w:val="3240489A"/>
    <w:lvl w:ilvl="0">
      <w:start w:val="1"/>
      <w:numFmt w:val="decimal"/>
      <w:lvlText w:val="%1."/>
      <w:lvlJc w:val="left"/>
      <w:pPr>
        <w:tabs>
          <w:tab w:val="num" w:pos="360"/>
        </w:tabs>
        <w:ind w:left="360" w:hanging="360"/>
      </w:pPr>
      <w:rPr>
        <w:rFonts w:ascii="Arial" w:hAnsi="Arial" w:hint="default"/>
        <w:b/>
        <w:i w:val="0"/>
        <w:color w:val="auto"/>
        <w:sz w:val="28"/>
      </w:rPr>
    </w:lvl>
    <w:lvl w:ilvl="1">
      <w:start w:val="1"/>
      <w:numFmt w:val="decimal"/>
      <w:lvlText w:val="%1.%2"/>
      <w:lvlJc w:val="left"/>
      <w:pPr>
        <w:tabs>
          <w:tab w:val="num" w:pos="454"/>
        </w:tabs>
        <w:ind w:left="454" w:hanging="454"/>
      </w:pPr>
      <w:rPr>
        <w:rFonts w:ascii="Arial" w:hAnsi="Arial" w:hint="default"/>
        <w:b/>
        <w:i w:val="0"/>
        <w:sz w:val="24"/>
      </w:rPr>
    </w:lvl>
    <w:lvl w:ilvl="2">
      <w:start w:val="1"/>
      <w:numFmt w:val="decimal"/>
      <w:lvlText w:val="%1.%2.%3"/>
      <w:lvlJc w:val="left"/>
      <w:pPr>
        <w:tabs>
          <w:tab w:val="num" w:pos="720"/>
        </w:tabs>
        <w:ind w:left="357" w:hanging="357"/>
      </w:pPr>
      <w:rPr>
        <w:rFonts w:ascii="Arial" w:hAnsi="Arial" w:hint="default"/>
        <w:b/>
        <w:i w:val="0"/>
        <w:sz w:val="22"/>
      </w:rPr>
    </w:lvl>
    <w:lvl w:ilvl="3">
      <w:start w:val="1"/>
      <w:numFmt w:val="decimal"/>
      <w:lvlText w:val="%1.%2.%3.%4"/>
      <w:lvlJc w:val="left"/>
      <w:pPr>
        <w:tabs>
          <w:tab w:val="num" w:pos="2160"/>
        </w:tabs>
        <w:ind w:left="1797" w:hanging="357"/>
      </w:pPr>
      <w:rPr>
        <w:rFonts w:ascii="Arial" w:hAnsi="Arial" w:hint="default"/>
        <w:b/>
        <w:i w:val="0"/>
        <w:sz w:val="22"/>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7" w15:restartNumberingAfterBreak="0">
    <w:nsid w:val="400B1BEE"/>
    <w:multiLevelType w:val="hybridMultilevel"/>
    <w:tmpl w:val="812A8AE0"/>
    <w:lvl w:ilvl="0" w:tplc="20DA9F6C">
      <w:start w:val="8"/>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078787B"/>
    <w:multiLevelType w:val="hybridMultilevel"/>
    <w:tmpl w:val="C10ECA5A"/>
    <w:lvl w:ilvl="0" w:tplc="263062B8">
      <w:start w:val="9"/>
      <w:numFmt w:val="upperLetter"/>
      <w:lvlText w:val="%1)"/>
      <w:lvlJc w:val="left"/>
      <w:pPr>
        <w:ind w:left="360" w:hanging="360"/>
      </w:pPr>
      <w:rPr>
        <w:rFonts w:hint="default"/>
      </w:rPr>
    </w:lvl>
    <w:lvl w:ilvl="1" w:tplc="04070019" w:tentative="1">
      <w:start w:val="1"/>
      <w:numFmt w:val="lowerLetter"/>
      <w:lvlText w:val="%2."/>
      <w:lvlJc w:val="left"/>
      <w:pPr>
        <w:ind w:left="732" w:hanging="360"/>
      </w:pPr>
    </w:lvl>
    <w:lvl w:ilvl="2" w:tplc="0407001B" w:tentative="1">
      <w:start w:val="1"/>
      <w:numFmt w:val="lowerRoman"/>
      <w:lvlText w:val="%3."/>
      <w:lvlJc w:val="right"/>
      <w:pPr>
        <w:ind w:left="1452" w:hanging="180"/>
      </w:pPr>
    </w:lvl>
    <w:lvl w:ilvl="3" w:tplc="0407000F" w:tentative="1">
      <w:start w:val="1"/>
      <w:numFmt w:val="decimal"/>
      <w:lvlText w:val="%4."/>
      <w:lvlJc w:val="left"/>
      <w:pPr>
        <w:ind w:left="2172" w:hanging="360"/>
      </w:pPr>
    </w:lvl>
    <w:lvl w:ilvl="4" w:tplc="04070019" w:tentative="1">
      <w:start w:val="1"/>
      <w:numFmt w:val="lowerLetter"/>
      <w:lvlText w:val="%5."/>
      <w:lvlJc w:val="left"/>
      <w:pPr>
        <w:ind w:left="2892" w:hanging="360"/>
      </w:pPr>
    </w:lvl>
    <w:lvl w:ilvl="5" w:tplc="0407001B" w:tentative="1">
      <w:start w:val="1"/>
      <w:numFmt w:val="lowerRoman"/>
      <w:lvlText w:val="%6."/>
      <w:lvlJc w:val="right"/>
      <w:pPr>
        <w:ind w:left="3612" w:hanging="180"/>
      </w:pPr>
    </w:lvl>
    <w:lvl w:ilvl="6" w:tplc="0407000F" w:tentative="1">
      <w:start w:val="1"/>
      <w:numFmt w:val="decimal"/>
      <w:lvlText w:val="%7."/>
      <w:lvlJc w:val="left"/>
      <w:pPr>
        <w:ind w:left="4332" w:hanging="360"/>
      </w:pPr>
    </w:lvl>
    <w:lvl w:ilvl="7" w:tplc="04070019" w:tentative="1">
      <w:start w:val="1"/>
      <w:numFmt w:val="lowerLetter"/>
      <w:lvlText w:val="%8."/>
      <w:lvlJc w:val="left"/>
      <w:pPr>
        <w:ind w:left="5052" w:hanging="360"/>
      </w:pPr>
    </w:lvl>
    <w:lvl w:ilvl="8" w:tplc="0407001B" w:tentative="1">
      <w:start w:val="1"/>
      <w:numFmt w:val="lowerRoman"/>
      <w:lvlText w:val="%9."/>
      <w:lvlJc w:val="right"/>
      <w:pPr>
        <w:ind w:left="5772" w:hanging="180"/>
      </w:pPr>
    </w:lvl>
  </w:abstractNum>
  <w:abstractNum w:abstractNumId="19" w15:restartNumberingAfterBreak="0">
    <w:nsid w:val="44DA3432"/>
    <w:multiLevelType w:val="hybridMultilevel"/>
    <w:tmpl w:val="B6822740"/>
    <w:lvl w:ilvl="0" w:tplc="F6ACE9C4">
      <w:start w:val="10"/>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7E901F3"/>
    <w:multiLevelType w:val="hybridMultilevel"/>
    <w:tmpl w:val="F0463626"/>
    <w:lvl w:ilvl="0" w:tplc="0978AC04">
      <w:start w:val="12"/>
      <w:numFmt w:val="upp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8400AF6"/>
    <w:multiLevelType w:val="hybridMultilevel"/>
    <w:tmpl w:val="29888F26"/>
    <w:lvl w:ilvl="0" w:tplc="74762EB8">
      <w:start w:val="1"/>
      <w:numFmt w:val="upperLetter"/>
      <w:lvlText w:val="%1)"/>
      <w:lvlJc w:val="left"/>
      <w:pPr>
        <w:ind w:left="345" w:hanging="360"/>
      </w:pPr>
      <w:rPr>
        <w:rFonts w:hint="default"/>
      </w:rPr>
    </w:lvl>
    <w:lvl w:ilvl="1" w:tplc="ABCADCEA">
      <w:start w:val="1"/>
      <w:numFmt w:val="lowerLetter"/>
      <w:lvlText w:val="%2)"/>
      <w:lvlJc w:val="left"/>
      <w:pPr>
        <w:ind w:left="1425" w:hanging="360"/>
      </w:pPr>
      <w:rPr>
        <w:rFonts w:hint="default"/>
      </w:rPr>
    </w:lvl>
    <w:lvl w:ilvl="2" w:tplc="0407001B" w:tentative="1">
      <w:start w:val="1"/>
      <w:numFmt w:val="lowerRoman"/>
      <w:lvlText w:val="%3."/>
      <w:lvlJc w:val="right"/>
      <w:pPr>
        <w:ind w:left="2145" w:hanging="180"/>
      </w:pPr>
    </w:lvl>
    <w:lvl w:ilvl="3" w:tplc="0407000F" w:tentative="1">
      <w:start w:val="1"/>
      <w:numFmt w:val="decimal"/>
      <w:lvlText w:val="%4."/>
      <w:lvlJc w:val="left"/>
      <w:pPr>
        <w:ind w:left="2865" w:hanging="360"/>
      </w:pPr>
    </w:lvl>
    <w:lvl w:ilvl="4" w:tplc="04070019" w:tentative="1">
      <w:start w:val="1"/>
      <w:numFmt w:val="lowerLetter"/>
      <w:lvlText w:val="%5."/>
      <w:lvlJc w:val="left"/>
      <w:pPr>
        <w:ind w:left="3585" w:hanging="360"/>
      </w:pPr>
    </w:lvl>
    <w:lvl w:ilvl="5" w:tplc="0407001B" w:tentative="1">
      <w:start w:val="1"/>
      <w:numFmt w:val="lowerRoman"/>
      <w:lvlText w:val="%6."/>
      <w:lvlJc w:val="right"/>
      <w:pPr>
        <w:ind w:left="4305" w:hanging="180"/>
      </w:pPr>
    </w:lvl>
    <w:lvl w:ilvl="6" w:tplc="0407000F" w:tentative="1">
      <w:start w:val="1"/>
      <w:numFmt w:val="decimal"/>
      <w:lvlText w:val="%7."/>
      <w:lvlJc w:val="left"/>
      <w:pPr>
        <w:ind w:left="5025" w:hanging="360"/>
      </w:pPr>
    </w:lvl>
    <w:lvl w:ilvl="7" w:tplc="04070019" w:tentative="1">
      <w:start w:val="1"/>
      <w:numFmt w:val="lowerLetter"/>
      <w:lvlText w:val="%8."/>
      <w:lvlJc w:val="left"/>
      <w:pPr>
        <w:ind w:left="5745" w:hanging="360"/>
      </w:pPr>
    </w:lvl>
    <w:lvl w:ilvl="8" w:tplc="0407001B" w:tentative="1">
      <w:start w:val="1"/>
      <w:numFmt w:val="lowerRoman"/>
      <w:lvlText w:val="%9."/>
      <w:lvlJc w:val="right"/>
      <w:pPr>
        <w:ind w:left="6465" w:hanging="180"/>
      </w:pPr>
    </w:lvl>
  </w:abstractNum>
  <w:abstractNum w:abstractNumId="22" w15:restartNumberingAfterBreak="0">
    <w:nsid w:val="489B329A"/>
    <w:multiLevelType w:val="hybridMultilevel"/>
    <w:tmpl w:val="62B4FE64"/>
    <w:lvl w:ilvl="0" w:tplc="030E915A">
      <w:start w:val="10"/>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C8F4559"/>
    <w:multiLevelType w:val="hybridMultilevel"/>
    <w:tmpl w:val="65386F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79F30B4"/>
    <w:multiLevelType w:val="hybridMultilevel"/>
    <w:tmpl w:val="4828A044"/>
    <w:lvl w:ilvl="0" w:tplc="D292CA6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D8B778A"/>
    <w:multiLevelType w:val="hybridMultilevel"/>
    <w:tmpl w:val="9A564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5035FD5"/>
    <w:multiLevelType w:val="hybridMultilevel"/>
    <w:tmpl w:val="96A27160"/>
    <w:lvl w:ilvl="0" w:tplc="0407000F">
      <w:start w:val="1"/>
      <w:numFmt w:val="decimal"/>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7" w15:restartNumberingAfterBreak="0">
    <w:nsid w:val="6F67098B"/>
    <w:multiLevelType w:val="hybridMultilevel"/>
    <w:tmpl w:val="72F8FC7C"/>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8" w15:restartNumberingAfterBreak="0">
    <w:nsid w:val="76376EB2"/>
    <w:multiLevelType w:val="hybridMultilevel"/>
    <w:tmpl w:val="8B06D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6FE4343"/>
    <w:multiLevelType w:val="hybridMultilevel"/>
    <w:tmpl w:val="CA70A276"/>
    <w:lvl w:ilvl="0" w:tplc="346ECDEE">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30" w15:restartNumberingAfterBreak="0">
    <w:nsid w:val="7FA541DC"/>
    <w:multiLevelType w:val="hybridMultilevel"/>
    <w:tmpl w:val="D30E3F3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3"/>
  </w:num>
  <w:num w:numId="2">
    <w:abstractNumId w:val="16"/>
  </w:num>
  <w:num w:numId="3">
    <w:abstractNumId w:val="21"/>
  </w:num>
  <w:num w:numId="4">
    <w:abstractNumId w:val="28"/>
  </w:num>
  <w:num w:numId="5">
    <w:abstractNumId w:val="15"/>
  </w:num>
  <w:num w:numId="6">
    <w:abstractNumId w:val="4"/>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9"/>
  </w:num>
  <w:num w:numId="11">
    <w:abstractNumId w:val="8"/>
  </w:num>
  <w:num w:numId="12">
    <w:abstractNumId w:val="1"/>
  </w:num>
  <w:num w:numId="13">
    <w:abstractNumId w:val="12"/>
  </w:num>
  <w:num w:numId="14">
    <w:abstractNumId w:val="7"/>
  </w:num>
  <w:num w:numId="15">
    <w:abstractNumId w:val="27"/>
  </w:num>
  <w:num w:numId="16">
    <w:abstractNumId w:val="14"/>
  </w:num>
  <w:num w:numId="17">
    <w:abstractNumId w:val="13"/>
  </w:num>
  <w:num w:numId="18">
    <w:abstractNumId w:val="5"/>
  </w:num>
  <w:num w:numId="19">
    <w:abstractNumId w:val="25"/>
  </w:num>
  <w:num w:numId="20">
    <w:abstractNumId w:val="24"/>
  </w:num>
  <w:num w:numId="21">
    <w:abstractNumId w:val="2"/>
  </w:num>
  <w:num w:numId="22">
    <w:abstractNumId w:val="10"/>
  </w:num>
  <w:num w:numId="23">
    <w:abstractNumId w:val="29"/>
  </w:num>
  <w:num w:numId="24">
    <w:abstractNumId w:val="18"/>
  </w:num>
  <w:num w:numId="25">
    <w:abstractNumId w:val="20"/>
  </w:num>
  <w:num w:numId="26">
    <w:abstractNumId w:val="0"/>
  </w:num>
  <w:num w:numId="27">
    <w:abstractNumId w:val="30"/>
  </w:num>
  <w:num w:numId="28">
    <w:abstractNumId w:val="23"/>
  </w:num>
  <w:num w:numId="29">
    <w:abstractNumId w:val="22"/>
  </w:num>
  <w:num w:numId="30">
    <w:abstractNumId w:val="26"/>
  </w:num>
  <w:num w:numId="31">
    <w:abstractNumId w:val="9"/>
  </w:num>
  <w:num w:numId="3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noPunctuationKerning/>
  <w:characterSpacingControl w:val="doNotCompress"/>
  <w:hdrShapeDefaults>
    <o:shapedefaults v:ext="edit" spidmax="5120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5C6"/>
    <w:rsid w:val="00000308"/>
    <w:rsid w:val="0000091E"/>
    <w:rsid w:val="0000108F"/>
    <w:rsid w:val="0000114E"/>
    <w:rsid w:val="0000289F"/>
    <w:rsid w:val="00005899"/>
    <w:rsid w:val="00006869"/>
    <w:rsid w:val="00006EF4"/>
    <w:rsid w:val="00013504"/>
    <w:rsid w:val="00014079"/>
    <w:rsid w:val="000145A4"/>
    <w:rsid w:val="00014D1D"/>
    <w:rsid w:val="00015491"/>
    <w:rsid w:val="000156F7"/>
    <w:rsid w:val="0001576B"/>
    <w:rsid w:val="000170B5"/>
    <w:rsid w:val="00020253"/>
    <w:rsid w:val="00020555"/>
    <w:rsid w:val="0002155A"/>
    <w:rsid w:val="00023D9B"/>
    <w:rsid w:val="00024E71"/>
    <w:rsid w:val="000255BE"/>
    <w:rsid w:val="00030802"/>
    <w:rsid w:val="00030B1D"/>
    <w:rsid w:val="00031E17"/>
    <w:rsid w:val="00034396"/>
    <w:rsid w:val="00035838"/>
    <w:rsid w:val="00036B08"/>
    <w:rsid w:val="00037FC8"/>
    <w:rsid w:val="000408FA"/>
    <w:rsid w:val="00041A87"/>
    <w:rsid w:val="00041B3B"/>
    <w:rsid w:val="000424C2"/>
    <w:rsid w:val="000430A4"/>
    <w:rsid w:val="000431DF"/>
    <w:rsid w:val="00043D4B"/>
    <w:rsid w:val="00043DCF"/>
    <w:rsid w:val="000441C8"/>
    <w:rsid w:val="0004431D"/>
    <w:rsid w:val="0004453F"/>
    <w:rsid w:val="00045A44"/>
    <w:rsid w:val="00046D38"/>
    <w:rsid w:val="000472FF"/>
    <w:rsid w:val="00051BB5"/>
    <w:rsid w:val="00052140"/>
    <w:rsid w:val="00052F70"/>
    <w:rsid w:val="000532C1"/>
    <w:rsid w:val="000541B7"/>
    <w:rsid w:val="000551C0"/>
    <w:rsid w:val="000551C6"/>
    <w:rsid w:val="0006040D"/>
    <w:rsid w:val="00063043"/>
    <w:rsid w:val="000653AE"/>
    <w:rsid w:val="000654B6"/>
    <w:rsid w:val="0006704B"/>
    <w:rsid w:val="0007300E"/>
    <w:rsid w:val="00075F7E"/>
    <w:rsid w:val="000769BC"/>
    <w:rsid w:val="00077001"/>
    <w:rsid w:val="00077089"/>
    <w:rsid w:val="000770D5"/>
    <w:rsid w:val="000776C4"/>
    <w:rsid w:val="00077F7C"/>
    <w:rsid w:val="0008135E"/>
    <w:rsid w:val="00081708"/>
    <w:rsid w:val="00081A10"/>
    <w:rsid w:val="00081C14"/>
    <w:rsid w:val="00083BCD"/>
    <w:rsid w:val="00084610"/>
    <w:rsid w:val="0008678F"/>
    <w:rsid w:val="00087986"/>
    <w:rsid w:val="000905B1"/>
    <w:rsid w:val="000916BD"/>
    <w:rsid w:val="00092887"/>
    <w:rsid w:val="000939FE"/>
    <w:rsid w:val="000942DE"/>
    <w:rsid w:val="000965DE"/>
    <w:rsid w:val="00096B6B"/>
    <w:rsid w:val="00096C50"/>
    <w:rsid w:val="00096CEC"/>
    <w:rsid w:val="000A0B54"/>
    <w:rsid w:val="000A4420"/>
    <w:rsid w:val="000A490E"/>
    <w:rsid w:val="000A6327"/>
    <w:rsid w:val="000B0628"/>
    <w:rsid w:val="000B3D3D"/>
    <w:rsid w:val="000B540E"/>
    <w:rsid w:val="000B7CE2"/>
    <w:rsid w:val="000C129D"/>
    <w:rsid w:val="000C17F6"/>
    <w:rsid w:val="000C184E"/>
    <w:rsid w:val="000C28E6"/>
    <w:rsid w:val="000C6576"/>
    <w:rsid w:val="000C6CD6"/>
    <w:rsid w:val="000C74A4"/>
    <w:rsid w:val="000D0F81"/>
    <w:rsid w:val="000D4E64"/>
    <w:rsid w:val="000D5579"/>
    <w:rsid w:val="000D69FD"/>
    <w:rsid w:val="000D6D0C"/>
    <w:rsid w:val="000E1313"/>
    <w:rsid w:val="000E208D"/>
    <w:rsid w:val="000E2AD3"/>
    <w:rsid w:val="000E374A"/>
    <w:rsid w:val="000E681A"/>
    <w:rsid w:val="000E6C56"/>
    <w:rsid w:val="000F5441"/>
    <w:rsid w:val="000F5E6A"/>
    <w:rsid w:val="000F6A4F"/>
    <w:rsid w:val="000F75B2"/>
    <w:rsid w:val="00104989"/>
    <w:rsid w:val="00104B94"/>
    <w:rsid w:val="00105FDF"/>
    <w:rsid w:val="001064D7"/>
    <w:rsid w:val="00110811"/>
    <w:rsid w:val="00111F78"/>
    <w:rsid w:val="00120E97"/>
    <w:rsid w:val="00123251"/>
    <w:rsid w:val="00123F31"/>
    <w:rsid w:val="001240B0"/>
    <w:rsid w:val="0012410A"/>
    <w:rsid w:val="00126E88"/>
    <w:rsid w:val="00136CBE"/>
    <w:rsid w:val="001378E0"/>
    <w:rsid w:val="00145092"/>
    <w:rsid w:val="00146510"/>
    <w:rsid w:val="001516C7"/>
    <w:rsid w:val="001531FE"/>
    <w:rsid w:val="00156B9B"/>
    <w:rsid w:val="00156F2F"/>
    <w:rsid w:val="00157C06"/>
    <w:rsid w:val="0016047A"/>
    <w:rsid w:val="00162831"/>
    <w:rsid w:val="00164053"/>
    <w:rsid w:val="00174852"/>
    <w:rsid w:val="00175322"/>
    <w:rsid w:val="00176E91"/>
    <w:rsid w:val="001775D3"/>
    <w:rsid w:val="001777C6"/>
    <w:rsid w:val="00180570"/>
    <w:rsid w:val="0018065E"/>
    <w:rsid w:val="0018109F"/>
    <w:rsid w:val="0018220E"/>
    <w:rsid w:val="00182844"/>
    <w:rsid w:val="00183596"/>
    <w:rsid w:val="00183BC7"/>
    <w:rsid w:val="001841DB"/>
    <w:rsid w:val="00185D6B"/>
    <w:rsid w:val="00186003"/>
    <w:rsid w:val="0018611D"/>
    <w:rsid w:val="00187697"/>
    <w:rsid w:val="00191D87"/>
    <w:rsid w:val="00191E9E"/>
    <w:rsid w:val="00192142"/>
    <w:rsid w:val="00192F5A"/>
    <w:rsid w:val="001932C0"/>
    <w:rsid w:val="00193EA6"/>
    <w:rsid w:val="00196521"/>
    <w:rsid w:val="001A0FE5"/>
    <w:rsid w:val="001A0FF9"/>
    <w:rsid w:val="001A1C93"/>
    <w:rsid w:val="001A328C"/>
    <w:rsid w:val="001A6E9D"/>
    <w:rsid w:val="001B1EF1"/>
    <w:rsid w:val="001B6B33"/>
    <w:rsid w:val="001C03E5"/>
    <w:rsid w:val="001C144B"/>
    <w:rsid w:val="001C2305"/>
    <w:rsid w:val="001C2586"/>
    <w:rsid w:val="001C2EF3"/>
    <w:rsid w:val="001C38F8"/>
    <w:rsid w:val="001C3E51"/>
    <w:rsid w:val="001C50D3"/>
    <w:rsid w:val="001D0FDF"/>
    <w:rsid w:val="001D1288"/>
    <w:rsid w:val="001D16D4"/>
    <w:rsid w:val="001D2E75"/>
    <w:rsid w:val="001D30D8"/>
    <w:rsid w:val="001D66D8"/>
    <w:rsid w:val="001D7990"/>
    <w:rsid w:val="001E167A"/>
    <w:rsid w:val="001E1CC1"/>
    <w:rsid w:val="001E7B78"/>
    <w:rsid w:val="001E7D3C"/>
    <w:rsid w:val="001F1809"/>
    <w:rsid w:val="001F1D26"/>
    <w:rsid w:val="001F3A1B"/>
    <w:rsid w:val="001F44DC"/>
    <w:rsid w:val="001F4CE1"/>
    <w:rsid w:val="001F5376"/>
    <w:rsid w:val="00200BC4"/>
    <w:rsid w:val="002047D4"/>
    <w:rsid w:val="00204AF5"/>
    <w:rsid w:val="00204E9A"/>
    <w:rsid w:val="0021005F"/>
    <w:rsid w:val="00211D9D"/>
    <w:rsid w:val="00212742"/>
    <w:rsid w:val="002134FD"/>
    <w:rsid w:val="0021356E"/>
    <w:rsid w:val="002152FE"/>
    <w:rsid w:val="00215395"/>
    <w:rsid w:val="002160AF"/>
    <w:rsid w:val="00216735"/>
    <w:rsid w:val="00221CE1"/>
    <w:rsid w:val="00225206"/>
    <w:rsid w:val="00227686"/>
    <w:rsid w:val="00230A05"/>
    <w:rsid w:val="00233D8A"/>
    <w:rsid w:val="002340E1"/>
    <w:rsid w:val="00236791"/>
    <w:rsid w:val="00236C48"/>
    <w:rsid w:val="002409B6"/>
    <w:rsid w:val="00240D96"/>
    <w:rsid w:val="00243386"/>
    <w:rsid w:val="00244355"/>
    <w:rsid w:val="0024496E"/>
    <w:rsid w:val="00246291"/>
    <w:rsid w:val="00250DAC"/>
    <w:rsid w:val="00251722"/>
    <w:rsid w:val="002525CF"/>
    <w:rsid w:val="00254A8C"/>
    <w:rsid w:val="00254E79"/>
    <w:rsid w:val="002564F9"/>
    <w:rsid w:val="0026167C"/>
    <w:rsid w:val="00262B95"/>
    <w:rsid w:val="00263C9C"/>
    <w:rsid w:val="00263F8C"/>
    <w:rsid w:val="0027195B"/>
    <w:rsid w:val="00272180"/>
    <w:rsid w:val="0027275E"/>
    <w:rsid w:val="002737C2"/>
    <w:rsid w:val="00273944"/>
    <w:rsid w:val="00280168"/>
    <w:rsid w:val="00280EB7"/>
    <w:rsid w:val="002830B2"/>
    <w:rsid w:val="00283155"/>
    <w:rsid w:val="002836E4"/>
    <w:rsid w:val="00283933"/>
    <w:rsid w:val="002842CE"/>
    <w:rsid w:val="00285B61"/>
    <w:rsid w:val="00294AA4"/>
    <w:rsid w:val="00294E3E"/>
    <w:rsid w:val="00295480"/>
    <w:rsid w:val="0029657C"/>
    <w:rsid w:val="0029695F"/>
    <w:rsid w:val="0029758A"/>
    <w:rsid w:val="002A0A9E"/>
    <w:rsid w:val="002A1906"/>
    <w:rsid w:val="002A1EA9"/>
    <w:rsid w:val="002A320B"/>
    <w:rsid w:val="002A33A3"/>
    <w:rsid w:val="002A3CE3"/>
    <w:rsid w:val="002A6590"/>
    <w:rsid w:val="002B0F71"/>
    <w:rsid w:val="002B10EA"/>
    <w:rsid w:val="002B110B"/>
    <w:rsid w:val="002B21CC"/>
    <w:rsid w:val="002B3B60"/>
    <w:rsid w:val="002B40C4"/>
    <w:rsid w:val="002B6DC7"/>
    <w:rsid w:val="002B76B6"/>
    <w:rsid w:val="002C0DD0"/>
    <w:rsid w:val="002C0DDF"/>
    <w:rsid w:val="002C18AA"/>
    <w:rsid w:val="002C1C87"/>
    <w:rsid w:val="002C2CF1"/>
    <w:rsid w:val="002C4274"/>
    <w:rsid w:val="002C4C2A"/>
    <w:rsid w:val="002C5A29"/>
    <w:rsid w:val="002C63F2"/>
    <w:rsid w:val="002D6223"/>
    <w:rsid w:val="002E0AD7"/>
    <w:rsid w:val="002E123B"/>
    <w:rsid w:val="002E1CFD"/>
    <w:rsid w:val="002E4225"/>
    <w:rsid w:val="002E4D43"/>
    <w:rsid w:val="002E5ACE"/>
    <w:rsid w:val="002E6BE7"/>
    <w:rsid w:val="002E712E"/>
    <w:rsid w:val="002E75AD"/>
    <w:rsid w:val="002E7A0C"/>
    <w:rsid w:val="002F0117"/>
    <w:rsid w:val="002F05DB"/>
    <w:rsid w:val="002F17E0"/>
    <w:rsid w:val="002F272C"/>
    <w:rsid w:val="002F2FA2"/>
    <w:rsid w:val="002F42B6"/>
    <w:rsid w:val="002F5413"/>
    <w:rsid w:val="002F5650"/>
    <w:rsid w:val="0030307B"/>
    <w:rsid w:val="0030413A"/>
    <w:rsid w:val="00304864"/>
    <w:rsid w:val="00304E7D"/>
    <w:rsid w:val="0030560C"/>
    <w:rsid w:val="00305969"/>
    <w:rsid w:val="00306B42"/>
    <w:rsid w:val="00310C21"/>
    <w:rsid w:val="0031379B"/>
    <w:rsid w:val="0032039B"/>
    <w:rsid w:val="0032070A"/>
    <w:rsid w:val="00323A93"/>
    <w:rsid w:val="00324247"/>
    <w:rsid w:val="003252A3"/>
    <w:rsid w:val="0032561B"/>
    <w:rsid w:val="00326C50"/>
    <w:rsid w:val="003317AD"/>
    <w:rsid w:val="003337A4"/>
    <w:rsid w:val="003376CD"/>
    <w:rsid w:val="00337F47"/>
    <w:rsid w:val="003451DF"/>
    <w:rsid w:val="00345874"/>
    <w:rsid w:val="00345DD1"/>
    <w:rsid w:val="003502B2"/>
    <w:rsid w:val="003523A4"/>
    <w:rsid w:val="0035312D"/>
    <w:rsid w:val="0035446E"/>
    <w:rsid w:val="00354707"/>
    <w:rsid w:val="0035612F"/>
    <w:rsid w:val="00356E6F"/>
    <w:rsid w:val="003603DA"/>
    <w:rsid w:val="00360E6F"/>
    <w:rsid w:val="00363465"/>
    <w:rsid w:val="00366182"/>
    <w:rsid w:val="00366263"/>
    <w:rsid w:val="00366E75"/>
    <w:rsid w:val="00367D7D"/>
    <w:rsid w:val="003700FA"/>
    <w:rsid w:val="00370D5C"/>
    <w:rsid w:val="00371565"/>
    <w:rsid w:val="00373AE5"/>
    <w:rsid w:val="00373BF4"/>
    <w:rsid w:val="0037699D"/>
    <w:rsid w:val="00377108"/>
    <w:rsid w:val="00377AB1"/>
    <w:rsid w:val="00377C9B"/>
    <w:rsid w:val="003804A1"/>
    <w:rsid w:val="00380BBD"/>
    <w:rsid w:val="00381B4C"/>
    <w:rsid w:val="003838F7"/>
    <w:rsid w:val="003856D1"/>
    <w:rsid w:val="00385BB1"/>
    <w:rsid w:val="003863A1"/>
    <w:rsid w:val="00386C17"/>
    <w:rsid w:val="00387EFC"/>
    <w:rsid w:val="0039318F"/>
    <w:rsid w:val="0039348D"/>
    <w:rsid w:val="00393701"/>
    <w:rsid w:val="00394707"/>
    <w:rsid w:val="0039566F"/>
    <w:rsid w:val="00397185"/>
    <w:rsid w:val="003A05CD"/>
    <w:rsid w:val="003A0932"/>
    <w:rsid w:val="003A1FB0"/>
    <w:rsid w:val="003A3062"/>
    <w:rsid w:val="003A4DE4"/>
    <w:rsid w:val="003A6E5E"/>
    <w:rsid w:val="003A6F1C"/>
    <w:rsid w:val="003B094D"/>
    <w:rsid w:val="003B518D"/>
    <w:rsid w:val="003B6418"/>
    <w:rsid w:val="003B6FEB"/>
    <w:rsid w:val="003C185F"/>
    <w:rsid w:val="003C4281"/>
    <w:rsid w:val="003C42D7"/>
    <w:rsid w:val="003C57A5"/>
    <w:rsid w:val="003C617E"/>
    <w:rsid w:val="003C63D9"/>
    <w:rsid w:val="003C76D5"/>
    <w:rsid w:val="003C7832"/>
    <w:rsid w:val="003D0E54"/>
    <w:rsid w:val="003D2202"/>
    <w:rsid w:val="003D3898"/>
    <w:rsid w:val="003D624C"/>
    <w:rsid w:val="003D6D08"/>
    <w:rsid w:val="003E15BD"/>
    <w:rsid w:val="003E4C78"/>
    <w:rsid w:val="003E4F04"/>
    <w:rsid w:val="003E4FEF"/>
    <w:rsid w:val="003E5FAB"/>
    <w:rsid w:val="003E624B"/>
    <w:rsid w:val="003E6A68"/>
    <w:rsid w:val="003E701B"/>
    <w:rsid w:val="003E71EC"/>
    <w:rsid w:val="003E7DE3"/>
    <w:rsid w:val="003E7FBD"/>
    <w:rsid w:val="003F2422"/>
    <w:rsid w:val="003F2E60"/>
    <w:rsid w:val="003F3DEF"/>
    <w:rsid w:val="003F567C"/>
    <w:rsid w:val="003F5BDF"/>
    <w:rsid w:val="00402168"/>
    <w:rsid w:val="00403FC0"/>
    <w:rsid w:val="004052EE"/>
    <w:rsid w:val="00406C95"/>
    <w:rsid w:val="00412864"/>
    <w:rsid w:val="00414586"/>
    <w:rsid w:val="00415027"/>
    <w:rsid w:val="00417867"/>
    <w:rsid w:val="00421CED"/>
    <w:rsid w:val="00423465"/>
    <w:rsid w:val="0042476C"/>
    <w:rsid w:val="00425184"/>
    <w:rsid w:val="00426507"/>
    <w:rsid w:val="004265CC"/>
    <w:rsid w:val="00427A47"/>
    <w:rsid w:val="004302AD"/>
    <w:rsid w:val="004304EA"/>
    <w:rsid w:val="00430AF4"/>
    <w:rsid w:val="004324E0"/>
    <w:rsid w:val="004331DF"/>
    <w:rsid w:val="004336EB"/>
    <w:rsid w:val="00433AE5"/>
    <w:rsid w:val="004368C5"/>
    <w:rsid w:val="00436DDE"/>
    <w:rsid w:val="00437257"/>
    <w:rsid w:val="004377D1"/>
    <w:rsid w:val="00440D70"/>
    <w:rsid w:val="00442D89"/>
    <w:rsid w:val="00443BF5"/>
    <w:rsid w:val="00443DCD"/>
    <w:rsid w:val="004445B5"/>
    <w:rsid w:val="00445135"/>
    <w:rsid w:val="004461DE"/>
    <w:rsid w:val="00447B49"/>
    <w:rsid w:val="004501D2"/>
    <w:rsid w:val="00450313"/>
    <w:rsid w:val="0045107C"/>
    <w:rsid w:val="0045142B"/>
    <w:rsid w:val="00453371"/>
    <w:rsid w:val="00453EFF"/>
    <w:rsid w:val="00453FB2"/>
    <w:rsid w:val="00454112"/>
    <w:rsid w:val="00454521"/>
    <w:rsid w:val="00454AC9"/>
    <w:rsid w:val="00456CB0"/>
    <w:rsid w:val="004610BC"/>
    <w:rsid w:val="00462897"/>
    <w:rsid w:val="00463D33"/>
    <w:rsid w:val="00464B5F"/>
    <w:rsid w:val="00467EC7"/>
    <w:rsid w:val="0047006A"/>
    <w:rsid w:val="00472341"/>
    <w:rsid w:val="00472EFA"/>
    <w:rsid w:val="00473204"/>
    <w:rsid w:val="00473A11"/>
    <w:rsid w:val="00473D3E"/>
    <w:rsid w:val="004740EF"/>
    <w:rsid w:val="0047649C"/>
    <w:rsid w:val="00482336"/>
    <w:rsid w:val="004826EF"/>
    <w:rsid w:val="00482765"/>
    <w:rsid w:val="004832A5"/>
    <w:rsid w:val="004852A1"/>
    <w:rsid w:val="00491098"/>
    <w:rsid w:val="00491627"/>
    <w:rsid w:val="00492BB2"/>
    <w:rsid w:val="00493F49"/>
    <w:rsid w:val="00494F61"/>
    <w:rsid w:val="00495A30"/>
    <w:rsid w:val="004A15DC"/>
    <w:rsid w:val="004A222C"/>
    <w:rsid w:val="004A3762"/>
    <w:rsid w:val="004A3F2C"/>
    <w:rsid w:val="004A516F"/>
    <w:rsid w:val="004A5D49"/>
    <w:rsid w:val="004A71AA"/>
    <w:rsid w:val="004A724E"/>
    <w:rsid w:val="004B476D"/>
    <w:rsid w:val="004B553C"/>
    <w:rsid w:val="004B7DDA"/>
    <w:rsid w:val="004C0C38"/>
    <w:rsid w:val="004C0D3F"/>
    <w:rsid w:val="004C1D11"/>
    <w:rsid w:val="004C5990"/>
    <w:rsid w:val="004C629E"/>
    <w:rsid w:val="004D3611"/>
    <w:rsid w:val="004D58AE"/>
    <w:rsid w:val="004F0A28"/>
    <w:rsid w:val="004F0D6E"/>
    <w:rsid w:val="004F476A"/>
    <w:rsid w:val="004F52B7"/>
    <w:rsid w:val="004F7389"/>
    <w:rsid w:val="00501884"/>
    <w:rsid w:val="00504B38"/>
    <w:rsid w:val="005067B3"/>
    <w:rsid w:val="00507BD9"/>
    <w:rsid w:val="00507C7F"/>
    <w:rsid w:val="00510BD0"/>
    <w:rsid w:val="00511672"/>
    <w:rsid w:val="00513745"/>
    <w:rsid w:val="005140E6"/>
    <w:rsid w:val="00514165"/>
    <w:rsid w:val="00514311"/>
    <w:rsid w:val="0051449D"/>
    <w:rsid w:val="00516B1B"/>
    <w:rsid w:val="005175CA"/>
    <w:rsid w:val="00517826"/>
    <w:rsid w:val="00517E4C"/>
    <w:rsid w:val="00524547"/>
    <w:rsid w:val="0052586B"/>
    <w:rsid w:val="005266C8"/>
    <w:rsid w:val="005273EE"/>
    <w:rsid w:val="00527504"/>
    <w:rsid w:val="00530468"/>
    <w:rsid w:val="005309D9"/>
    <w:rsid w:val="005323A3"/>
    <w:rsid w:val="00532AC7"/>
    <w:rsid w:val="00532ADE"/>
    <w:rsid w:val="00533337"/>
    <w:rsid w:val="00533B03"/>
    <w:rsid w:val="00534D2B"/>
    <w:rsid w:val="00535AF3"/>
    <w:rsid w:val="00536135"/>
    <w:rsid w:val="005433DA"/>
    <w:rsid w:val="00543A20"/>
    <w:rsid w:val="005451D8"/>
    <w:rsid w:val="005467CC"/>
    <w:rsid w:val="0054692B"/>
    <w:rsid w:val="0055017D"/>
    <w:rsid w:val="00552B3A"/>
    <w:rsid w:val="005534F9"/>
    <w:rsid w:val="00553EE8"/>
    <w:rsid w:val="005540E2"/>
    <w:rsid w:val="00554490"/>
    <w:rsid w:val="00555584"/>
    <w:rsid w:val="00555A53"/>
    <w:rsid w:val="00556B08"/>
    <w:rsid w:val="00560D66"/>
    <w:rsid w:val="005631B5"/>
    <w:rsid w:val="00563C37"/>
    <w:rsid w:val="00570EA7"/>
    <w:rsid w:val="0057433C"/>
    <w:rsid w:val="0057485D"/>
    <w:rsid w:val="00575BBE"/>
    <w:rsid w:val="0057772E"/>
    <w:rsid w:val="00577C3B"/>
    <w:rsid w:val="00577CD4"/>
    <w:rsid w:val="00577EF2"/>
    <w:rsid w:val="005801B4"/>
    <w:rsid w:val="005845A0"/>
    <w:rsid w:val="00584BF1"/>
    <w:rsid w:val="00584EC3"/>
    <w:rsid w:val="00591645"/>
    <w:rsid w:val="005937CF"/>
    <w:rsid w:val="0059388E"/>
    <w:rsid w:val="005A03D0"/>
    <w:rsid w:val="005A0FB1"/>
    <w:rsid w:val="005A23A9"/>
    <w:rsid w:val="005A53AB"/>
    <w:rsid w:val="005A5C6C"/>
    <w:rsid w:val="005B04EC"/>
    <w:rsid w:val="005B0FB1"/>
    <w:rsid w:val="005B1A95"/>
    <w:rsid w:val="005B22D5"/>
    <w:rsid w:val="005B3485"/>
    <w:rsid w:val="005B3AC8"/>
    <w:rsid w:val="005B6514"/>
    <w:rsid w:val="005B66FA"/>
    <w:rsid w:val="005C5EE7"/>
    <w:rsid w:val="005D077A"/>
    <w:rsid w:val="005D0B88"/>
    <w:rsid w:val="005D3299"/>
    <w:rsid w:val="005D3DE1"/>
    <w:rsid w:val="005D721D"/>
    <w:rsid w:val="005D7D10"/>
    <w:rsid w:val="005D7EF6"/>
    <w:rsid w:val="005E5662"/>
    <w:rsid w:val="005F0149"/>
    <w:rsid w:val="005F2C9C"/>
    <w:rsid w:val="005F40EC"/>
    <w:rsid w:val="005F472C"/>
    <w:rsid w:val="006041F1"/>
    <w:rsid w:val="006072F4"/>
    <w:rsid w:val="00607305"/>
    <w:rsid w:val="00613A14"/>
    <w:rsid w:val="00614658"/>
    <w:rsid w:val="00614726"/>
    <w:rsid w:val="00614BA1"/>
    <w:rsid w:val="00616E88"/>
    <w:rsid w:val="00620FEA"/>
    <w:rsid w:val="006215C6"/>
    <w:rsid w:val="00624FB8"/>
    <w:rsid w:val="006275AB"/>
    <w:rsid w:val="00627BE8"/>
    <w:rsid w:val="00627F3A"/>
    <w:rsid w:val="0063043C"/>
    <w:rsid w:val="006304FF"/>
    <w:rsid w:val="00631F1D"/>
    <w:rsid w:val="00632890"/>
    <w:rsid w:val="00632F17"/>
    <w:rsid w:val="00636ADB"/>
    <w:rsid w:val="00640784"/>
    <w:rsid w:val="0064370E"/>
    <w:rsid w:val="006441BA"/>
    <w:rsid w:val="006445A3"/>
    <w:rsid w:val="006446A1"/>
    <w:rsid w:val="006447CB"/>
    <w:rsid w:val="00647D0F"/>
    <w:rsid w:val="00647E5F"/>
    <w:rsid w:val="00652366"/>
    <w:rsid w:val="00653FE6"/>
    <w:rsid w:val="00654AD2"/>
    <w:rsid w:val="0065578E"/>
    <w:rsid w:val="00656F8F"/>
    <w:rsid w:val="00660848"/>
    <w:rsid w:val="00660CC8"/>
    <w:rsid w:val="00663162"/>
    <w:rsid w:val="00663D3F"/>
    <w:rsid w:val="00663E3C"/>
    <w:rsid w:val="00664E49"/>
    <w:rsid w:val="00667AAA"/>
    <w:rsid w:val="006700A5"/>
    <w:rsid w:val="0067042F"/>
    <w:rsid w:val="006714E0"/>
    <w:rsid w:val="0067366C"/>
    <w:rsid w:val="006754F0"/>
    <w:rsid w:val="0067566C"/>
    <w:rsid w:val="00680D1F"/>
    <w:rsid w:val="00682122"/>
    <w:rsid w:val="006828AC"/>
    <w:rsid w:val="00682F4B"/>
    <w:rsid w:val="00683482"/>
    <w:rsid w:val="00684C99"/>
    <w:rsid w:val="00685970"/>
    <w:rsid w:val="00685CFE"/>
    <w:rsid w:val="006870F2"/>
    <w:rsid w:val="00687CD2"/>
    <w:rsid w:val="00690062"/>
    <w:rsid w:val="0069208F"/>
    <w:rsid w:val="00692270"/>
    <w:rsid w:val="0069352A"/>
    <w:rsid w:val="006937A7"/>
    <w:rsid w:val="00694369"/>
    <w:rsid w:val="0069572A"/>
    <w:rsid w:val="00695948"/>
    <w:rsid w:val="00696DE9"/>
    <w:rsid w:val="0069746E"/>
    <w:rsid w:val="00697994"/>
    <w:rsid w:val="006A0334"/>
    <w:rsid w:val="006A58F6"/>
    <w:rsid w:val="006B28B4"/>
    <w:rsid w:val="006B30DC"/>
    <w:rsid w:val="006B3BCE"/>
    <w:rsid w:val="006B46B9"/>
    <w:rsid w:val="006B4FC8"/>
    <w:rsid w:val="006B51E9"/>
    <w:rsid w:val="006B52EE"/>
    <w:rsid w:val="006B644B"/>
    <w:rsid w:val="006C0A20"/>
    <w:rsid w:val="006C2880"/>
    <w:rsid w:val="006C32A8"/>
    <w:rsid w:val="006C3867"/>
    <w:rsid w:val="006C4676"/>
    <w:rsid w:val="006C49D3"/>
    <w:rsid w:val="006C5B96"/>
    <w:rsid w:val="006D0C65"/>
    <w:rsid w:val="006D3325"/>
    <w:rsid w:val="006D3E0F"/>
    <w:rsid w:val="006D5FF9"/>
    <w:rsid w:val="006D6C93"/>
    <w:rsid w:val="006E02B8"/>
    <w:rsid w:val="006E03FF"/>
    <w:rsid w:val="006E2221"/>
    <w:rsid w:val="006E2EEF"/>
    <w:rsid w:val="006E346A"/>
    <w:rsid w:val="006E3ADA"/>
    <w:rsid w:val="006E3E4E"/>
    <w:rsid w:val="006E71FF"/>
    <w:rsid w:val="006F17DD"/>
    <w:rsid w:val="006F19D6"/>
    <w:rsid w:val="006F1A1F"/>
    <w:rsid w:val="006F20A7"/>
    <w:rsid w:val="006F307C"/>
    <w:rsid w:val="006F5FF6"/>
    <w:rsid w:val="006F6255"/>
    <w:rsid w:val="006F72FD"/>
    <w:rsid w:val="0070234A"/>
    <w:rsid w:val="00703674"/>
    <w:rsid w:val="00703F10"/>
    <w:rsid w:val="007059D7"/>
    <w:rsid w:val="00705C28"/>
    <w:rsid w:val="00710525"/>
    <w:rsid w:val="00710EC3"/>
    <w:rsid w:val="007117BE"/>
    <w:rsid w:val="007128B2"/>
    <w:rsid w:val="00712B26"/>
    <w:rsid w:val="00713D80"/>
    <w:rsid w:val="00713EFC"/>
    <w:rsid w:val="007146A7"/>
    <w:rsid w:val="0071623B"/>
    <w:rsid w:val="0071629C"/>
    <w:rsid w:val="00717043"/>
    <w:rsid w:val="007178B1"/>
    <w:rsid w:val="00717B42"/>
    <w:rsid w:val="0072380D"/>
    <w:rsid w:val="00723896"/>
    <w:rsid w:val="00723BB3"/>
    <w:rsid w:val="00725D7A"/>
    <w:rsid w:val="00730591"/>
    <w:rsid w:val="00731121"/>
    <w:rsid w:val="0073362B"/>
    <w:rsid w:val="0073494D"/>
    <w:rsid w:val="007364C0"/>
    <w:rsid w:val="0074145C"/>
    <w:rsid w:val="0074378F"/>
    <w:rsid w:val="00744141"/>
    <w:rsid w:val="00745568"/>
    <w:rsid w:val="0074656C"/>
    <w:rsid w:val="00746D27"/>
    <w:rsid w:val="00750E36"/>
    <w:rsid w:val="0075235F"/>
    <w:rsid w:val="00752629"/>
    <w:rsid w:val="00753280"/>
    <w:rsid w:val="00753AB9"/>
    <w:rsid w:val="00753DCF"/>
    <w:rsid w:val="00756A4C"/>
    <w:rsid w:val="00760012"/>
    <w:rsid w:val="00761BE1"/>
    <w:rsid w:val="00761D5C"/>
    <w:rsid w:val="00770474"/>
    <w:rsid w:val="007735F6"/>
    <w:rsid w:val="0077660C"/>
    <w:rsid w:val="00776E77"/>
    <w:rsid w:val="00780BF4"/>
    <w:rsid w:val="007834A8"/>
    <w:rsid w:val="007900DD"/>
    <w:rsid w:val="007906C0"/>
    <w:rsid w:val="00792936"/>
    <w:rsid w:val="00793410"/>
    <w:rsid w:val="00793C6E"/>
    <w:rsid w:val="00797A4D"/>
    <w:rsid w:val="007A0A9D"/>
    <w:rsid w:val="007A1048"/>
    <w:rsid w:val="007A237F"/>
    <w:rsid w:val="007A3777"/>
    <w:rsid w:val="007A7730"/>
    <w:rsid w:val="007A7946"/>
    <w:rsid w:val="007A7CE6"/>
    <w:rsid w:val="007B20DC"/>
    <w:rsid w:val="007B25B0"/>
    <w:rsid w:val="007B5711"/>
    <w:rsid w:val="007C1902"/>
    <w:rsid w:val="007C3459"/>
    <w:rsid w:val="007C4303"/>
    <w:rsid w:val="007C5808"/>
    <w:rsid w:val="007C6EFD"/>
    <w:rsid w:val="007C7064"/>
    <w:rsid w:val="007D05A6"/>
    <w:rsid w:val="007D161D"/>
    <w:rsid w:val="007D1EF2"/>
    <w:rsid w:val="007D2CB5"/>
    <w:rsid w:val="007D4879"/>
    <w:rsid w:val="007D5A3E"/>
    <w:rsid w:val="007E0D26"/>
    <w:rsid w:val="007F259B"/>
    <w:rsid w:val="007F3169"/>
    <w:rsid w:val="007F43C8"/>
    <w:rsid w:val="00801831"/>
    <w:rsid w:val="00801E88"/>
    <w:rsid w:val="008023B6"/>
    <w:rsid w:val="008029EB"/>
    <w:rsid w:val="008031FF"/>
    <w:rsid w:val="00803B33"/>
    <w:rsid w:val="008048FD"/>
    <w:rsid w:val="008072DE"/>
    <w:rsid w:val="008073EC"/>
    <w:rsid w:val="008075DF"/>
    <w:rsid w:val="008102E3"/>
    <w:rsid w:val="00810BA2"/>
    <w:rsid w:val="008137F9"/>
    <w:rsid w:val="008147E8"/>
    <w:rsid w:val="008155B9"/>
    <w:rsid w:val="008165B1"/>
    <w:rsid w:val="0082007C"/>
    <w:rsid w:val="00821ACB"/>
    <w:rsid w:val="00821DEE"/>
    <w:rsid w:val="0082283B"/>
    <w:rsid w:val="00822CF4"/>
    <w:rsid w:val="0082546D"/>
    <w:rsid w:val="0082696D"/>
    <w:rsid w:val="008307C9"/>
    <w:rsid w:val="00831CBD"/>
    <w:rsid w:val="00831E2B"/>
    <w:rsid w:val="00834737"/>
    <w:rsid w:val="00836C76"/>
    <w:rsid w:val="00836FED"/>
    <w:rsid w:val="00837191"/>
    <w:rsid w:val="00840F45"/>
    <w:rsid w:val="008462E3"/>
    <w:rsid w:val="008469B1"/>
    <w:rsid w:val="00847D31"/>
    <w:rsid w:val="00847F31"/>
    <w:rsid w:val="0085067A"/>
    <w:rsid w:val="008507C8"/>
    <w:rsid w:val="00851179"/>
    <w:rsid w:val="00851390"/>
    <w:rsid w:val="00852424"/>
    <w:rsid w:val="00853884"/>
    <w:rsid w:val="00853B20"/>
    <w:rsid w:val="008555FD"/>
    <w:rsid w:val="00855D5E"/>
    <w:rsid w:val="00857734"/>
    <w:rsid w:val="008605BA"/>
    <w:rsid w:val="0086254F"/>
    <w:rsid w:val="0086542A"/>
    <w:rsid w:val="008669DE"/>
    <w:rsid w:val="00870170"/>
    <w:rsid w:val="00870B11"/>
    <w:rsid w:val="00870B63"/>
    <w:rsid w:val="00872511"/>
    <w:rsid w:val="00880BDA"/>
    <w:rsid w:val="00880E21"/>
    <w:rsid w:val="00881BC7"/>
    <w:rsid w:val="00885E19"/>
    <w:rsid w:val="00890045"/>
    <w:rsid w:val="0089191B"/>
    <w:rsid w:val="00893EA3"/>
    <w:rsid w:val="008945E8"/>
    <w:rsid w:val="0089476C"/>
    <w:rsid w:val="00895233"/>
    <w:rsid w:val="0089728D"/>
    <w:rsid w:val="008A0570"/>
    <w:rsid w:val="008A1136"/>
    <w:rsid w:val="008A1E56"/>
    <w:rsid w:val="008A53FC"/>
    <w:rsid w:val="008A59B7"/>
    <w:rsid w:val="008A6B0C"/>
    <w:rsid w:val="008B2A0D"/>
    <w:rsid w:val="008B69B5"/>
    <w:rsid w:val="008B7E8A"/>
    <w:rsid w:val="008C1477"/>
    <w:rsid w:val="008C245A"/>
    <w:rsid w:val="008C2500"/>
    <w:rsid w:val="008C26D4"/>
    <w:rsid w:val="008C3426"/>
    <w:rsid w:val="008C3FA6"/>
    <w:rsid w:val="008D1035"/>
    <w:rsid w:val="008D2670"/>
    <w:rsid w:val="008D51BA"/>
    <w:rsid w:val="008E07F9"/>
    <w:rsid w:val="008E103F"/>
    <w:rsid w:val="008E23E8"/>
    <w:rsid w:val="008E29A1"/>
    <w:rsid w:val="008E2E87"/>
    <w:rsid w:val="008E40B3"/>
    <w:rsid w:val="008E4760"/>
    <w:rsid w:val="008E5C08"/>
    <w:rsid w:val="008E68EC"/>
    <w:rsid w:val="008E6C1A"/>
    <w:rsid w:val="008E78DF"/>
    <w:rsid w:val="008F2FF4"/>
    <w:rsid w:val="008F5DD0"/>
    <w:rsid w:val="00900344"/>
    <w:rsid w:val="0090120E"/>
    <w:rsid w:val="0091073E"/>
    <w:rsid w:val="00911174"/>
    <w:rsid w:val="009121B4"/>
    <w:rsid w:val="009125D4"/>
    <w:rsid w:val="00912CF8"/>
    <w:rsid w:val="009227BA"/>
    <w:rsid w:val="00923B20"/>
    <w:rsid w:val="0092501A"/>
    <w:rsid w:val="009250D0"/>
    <w:rsid w:val="0092634D"/>
    <w:rsid w:val="00927A98"/>
    <w:rsid w:val="009317A0"/>
    <w:rsid w:val="009321F2"/>
    <w:rsid w:val="00933373"/>
    <w:rsid w:val="00933ED4"/>
    <w:rsid w:val="00934227"/>
    <w:rsid w:val="00935267"/>
    <w:rsid w:val="0093600E"/>
    <w:rsid w:val="009372EC"/>
    <w:rsid w:val="00941748"/>
    <w:rsid w:val="0094287D"/>
    <w:rsid w:val="009466E4"/>
    <w:rsid w:val="00946E67"/>
    <w:rsid w:val="00950637"/>
    <w:rsid w:val="0095098B"/>
    <w:rsid w:val="00955CF5"/>
    <w:rsid w:val="00955EBB"/>
    <w:rsid w:val="009606E5"/>
    <w:rsid w:val="009606FB"/>
    <w:rsid w:val="009653F3"/>
    <w:rsid w:val="009661B3"/>
    <w:rsid w:val="009678A7"/>
    <w:rsid w:val="009704F6"/>
    <w:rsid w:val="00970E73"/>
    <w:rsid w:val="00972406"/>
    <w:rsid w:val="009744B5"/>
    <w:rsid w:val="00980664"/>
    <w:rsid w:val="009840B5"/>
    <w:rsid w:val="00984FFF"/>
    <w:rsid w:val="00985124"/>
    <w:rsid w:val="009861A9"/>
    <w:rsid w:val="009864A3"/>
    <w:rsid w:val="00986519"/>
    <w:rsid w:val="00990ADE"/>
    <w:rsid w:val="0099234B"/>
    <w:rsid w:val="00992E04"/>
    <w:rsid w:val="00993D64"/>
    <w:rsid w:val="00994D09"/>
    <w:rsid w:val="009958BA"/>
    <w:rsid w:val="009967DA"/>
    <w:rsid w:val="00997231"/>
    <w:rsid w:val="009A13DF"/>
    <w:rsid w:val="009A558C"/>
    <w:rsid w:val="009A6D1C"/>
    <w:rsid w:val="009A6D5B"/>
    <w:rsid w:val="009A7346"/>
    <w:rsid w:val="009B4C14"/>
    <w:rsid w:val="009B64E9"/>
    <w:rsid w:val="009B6AFF"/>
    <w:rsid w:val="009B6D16"/>
    <w:rsid w:val="009B6E1F"/>
    <w:rsid w:val="009B6E97"/>
    <w:rsid w:val="009B6EAD"/>
    <w:rsid w:val="009C0B39"/>
    <w:rsid w:val="009C1E71"/>
    <w:rsid w:val="009C4258"/>
    <w:rsid w:val="009C4A99"/>
    <w:rsid w:val="009C4BB6"/>
    <w:rsid w:val="009C659D"/>
    <w:rsid w:val="009C67DF"/>
    <w:rsid w:val="009C6C23"/>
    <w:rsid w:val="009C74AE"/>
    <w:rsid w:val="009D0C21"/>
    <w:rsid w:val="009D6189"/>
    <w:rsid w:val="009D6E38"/>
    <w:rsid w:val="009E2313"/>
    <w:rsid w:val="009E3519"/>
    <w:rsid w:val="009E38F2"/>
    <w:rsid w:val="009E3C3D"/>
    <w:rsid w:val="009E7888"/>
    <w:rsid w:val="009F1F48"/>
    <w:rsid w:val="009F266A"/>
    <w:rsid w:val="009F27A8"/>
    <w:rsid w:val="009F27B7"/>
    <w:rsid w:val="009F48DF"/>
    <w:rsid w:val="009F4AC8"/>
    <w:rsid w:val="009F5B55"/>
    <w:rsid w:val="009F71B2"/>
    <w:rsid w:val="009F78F3"/>
    <w:rsid w:val="009F7DFC"/>
    <w:rsid w:val="00A02197"/>
    <w:rsid w:val="00A03E95"/>
    <w:rsid w:val="00A04CE8"/>
    <w:rsid w:val="00A05160"/>
    <w:rsid w:val="00A051D4"/>
    <w:rsid w:val="00A0639B"/>
    <w:rsid w:val="00A15EEB"/>
    <w:rsid w:val="00A178D0"/>
    <w:rsid w:val="00A217F0"/>
    <w:rsid w:val="00A24905"/>
    <w:rsid w:val="00A24EF0"/>
    <w:rsid w:val="00A257FC"/>
    <w:rsid w:val="00A276C8"/>
    <w:rsid w:val="00A31B2A"/>
    <w:rsid w:val="00A31C68"/>
    <w:rsid w:val="00A32332"/>
    <w:rsid w:val="00A33F81"/>
    <w:rsid w:val="00A33FD4"/>
    <w:rsid w:val="00A3497D"/>
    <w:rsid w:val="00A35C38"/>
    <w:rsid w:val="00A368CD"/>
    <w:rsid w:val="00A36AE0"/>
    <w:rsid w:val="00A4014D"/>
    <w:rsid w:val="00A4187F"/>
    <w:rsid w:val="00A42E72"/>
    <w:rsid w:val="00A43DC5"/>
    <w:rsid w:val="00A457C7"/>
    <w:rsid w:val="00A45AD9"/>
    <w:rsid w:val="00A4611F"/>
    <w:rsid w:val="00A47270"/>
    <w:rsid w:val="00A5291F"/>
    <w:rsid w:val="00A5411D"/>
    <w:rsid w:val="00A55737"/>
    <w:rsid w:val="00A55FCD"/>
    <w:rsid w:val="00A56551"/>
    <w:rsid w:val="00A608D1"/>
    <w:rsid w:val="00A62D77"/>
    <w:rsid w:val="00A65CAF"/>
    <w:rsid w:val="00A663CB"/>
    <w:rsid w:val="00A6681F"/>
    <w:rsid w:val="00A66A3D"/>
    <w:rsid w:val="00A67BB0"/>
    <w:rsid w:val="00A71ED1"/>
    <w:rsid w:val="00A732E9"/>
    <w:rsid w:val="00A738AE"/>
    <w:rsid w:val="00A74EF3"/>
    <w:rsid w:val="00A757F6"/>
    <w:rsid w:val="00A8198A"/>
    <w:rsid w:val="00A859CD"/>
    <w:rsid w:val="00A90DFB"/>
    <w:rsid w:val="00A94473"/>
    <w:rsid w:val="00A949A6"/>
    <w:rsid w:val="00A959A7"/>
    <w:rsid w:val="00AA05BF"/>
    <w:rsid w:val="00AA26CD"/>
    <w:rsid w:val="00AA5F32"/>
    <w:rsid w:val="00AA71CA"/>
    <w:rsid w:val="00AB14DF"/>
    <w:rsid w:val="00AB3477"/>
    <w:rsid w:val="00AB432C"/>
    <w:rsid w:val="00AB5364"/>
    <w:rsid w:val="00AB5426"/>
    <w:rsid w:val="00AB6F41"/>
    <w:rsid w:val="00AB71C0"/>
    <w:rsid w:val="00AC01B1"/>
    <w:rsid w:val="00AC2DEB"/>
    <w:rsid w:val="00AC2E87"/>
    <w:rsid w:val="00AC323C"/>
    <w:rsid w:val="00AC5FD4"/>
    <w:rsid w:val="00AC679B"/>
    <w:rsid w:val="00AD0038"/>
    <w:rsid w:val="00AD265D"/>
    <w:rsid w:val="00AD3915"/>
    <w:rsid w:val="00AD3A36"/>
    <w:rsid w:val="00AD3FEE"/>
    <w:rsid w:val="00AD5329"/>
    <w:rsid w:val="00AE11C1"/>
    <w:rsid w:val="00AE2025"/>
    <w:rsid w:val="00AE38DE"/>
    <w:rsid w:val="00AE3AF6"/>
    <w:rsid w:val="00AE60F1"/>
    <w:rsid w:val="00AE61C8"/>
    <w:rsid w:val="00AE7547"/>
    <w:rsid w:val="00AF3D36"/>
    <w:rsid w:val="00AF425A"/>
    <w:rsid w:val="00AF798C"/>
    <w:rsid w:val="00AF7CF0"/>
    <w:rsid w:val="00B01C98"/>
    <w:rsid w:val="00B0494F"/>
    <w:rsid w:val="00B0747E"/>
    <w:rsid w:val="00B07498"/>
    <w:rsid w:val="00B10413"/>
    <w:rsid w:val="00B1060D"/>
    <w:rsid w:val="00B107AE"/>
    <w:rsid w:val="00B11DF6"/>
    <w:rsid w:val="00B124AB"/>
    <w:rsid w:val="00B12C10"/>
    <w:rsid w:val="00B12E87"/>
    <w:rsid w:val="00B13DB2"/>
    <w:rsid w:val="00B148F2"/>
    <w:rsid w:val="00B1546D"/>
    <w:rsid w:val="00B16796"/>
    <w:rsid w:val="00B20B09"/>
    <w:rsid w:val="00B271A1"/>
    <w:rsid w:val="00B27558"/>
    <w:rsid w:val="00B313A9"/>
    <w:rsid w:val="00B32C3F"/>
    <w:rsid w:val="00B32E6B"/>
    <w:rsid w:val="00B33504"/>
    <w:rsid w:val="00B340EB"/>
    <w:rsid w:val="00B3563A"/>
    <w:rsid w:val="00B36B50"/>
    <w:rsid w:val="00B37456"/>
    <w:rsid w:val="00B40595"/>
    <w:rsid w:val="00B40DB6"/>
    <w:rsid w:val="00B420F9"/>
    <w:rsid w:val="00B45EB9"/>
    <w:rsid w:val="00B47A09"/>
    <w:rsid w:val="00B513C1"/>
    <w:rsid w:val="00B527F5"/>
    <w:rsid w:val="00B52D24"/>
    <w:rsid w:val="00B5324D"/>
    <w:rsid w:val="00B55F7A"/>
    <w:rsid w:val="00B602E8"/>
    <w:rsid w:val="00B60EF8"/>
    <w:rsid w:val="00B60F36"/>
    <w:rsid w:val="00B615B0"/>
    <w:rsid w:val="00B624BB"/>
    <w:rsid w:val="00B641E9"/>
    <w:rsid w:val="00B6470D"/>
    <w:rsid w:val="00B64B82"/>
    <w:rsid w:val="00B652B8"/>
    <w:rsid w:val="00B65F72"/>
    <w:rsid w:val="00B66C88"/>
    <w:rsid w:val="00B7269B"/>
    <w:rsid w:val="00B7418B"/>
    <w:rsid w:val="00B750F6"/>
    <w:rsid w:val="00B76D6E"/>
    <w:rsid w:val="00B8084A"/>
    <w:rsid w:val="00B81C4F"/>
    <w:rsid w:val="00B82DD7"/>
    <w:rsid w:val="00B833B3"/>
    <w:rsid w:val="00B8716A"/>
    <w:rsid w:val="00B90F07"/>
    <w:rsid w:val="00B91100"/>
    <w:rsid w:val="00B91F0D"/>
    <w:rsid w:val="00B94184"/>
    <w:rsid w:val="00B95BAE"/>
    <w:rsid w:val="00BA0D31"/>
    <w:rsid w:val="00BA3E17"/>
    <w:rsid w:val="00BA5CC3"/>
    <w:rsid w:val="00BA618E"/>
    <w:rsid w:val="00BA7382"/>
    <w:rsid w:val="00BA7756"/>
    <w:rsid w:val="00BA7EBC"/>
    <w:rsid w:val="00BB0257"/>
    <w:rsid w:val="00BB0B50"/>
    <w:rsid w:val="00BB0F48"/>
    <w:rsid w:val="00BB1755"/>
    <w:rsid w:val="00BB3993"/>
    <w:rsid w:val="00BB67CA"/>
    <w:rsid w:val="00BC110A"/>
    <w:rsid w:val="00BC123C"/>
    <w:rsid w:val="00BC3F16"/>
    <w:rsid w:val="00BC5E6E"/>
    <w:rsid w:val="00BC6850"/>
    <w:rsid w:val="00BD0A1E"/>
    <w:rsid w:val="00BD10C9"/>
    <w:rsid w:val="00BD20AF"/>
    <w:rsid w:val="00BD226C"/>
    <w:rsid w:val="00BD5833"/>
    <w:rsid w:val="00BD5B19"/>
    <w:rsid w:val="00BD5CEB"/>
    <w:rsid w:val="00BD5EB6"/>
    <w:rsid w:val="00BD69ED"/>
    <w:rsid w:val="00BD7375"/>
    <w:rsid w:val="00BE06FB"/>
    <w:rsid w:val="00BE3046"/>
    <w:rsid w:val="00BE5DE7"/>
    <w:rsid w:val="00BF2208"/>
    <w:rsid w:val="00BF33FC"/>
    <w:rsid w:val="00BF34A8"/>
    <w:rsid w:val="00BF4E01"/>
    <w:rsid w:val="00C0097D"/>
    <w:rsid w:val="00C009EC"/>
    <w:rsid w:val="00C00AFB"/>
    <w:rsid w:val="00C01825"/>
    <w:rsid w:val="00C01C10"/>
    <w:rsid w:val="00C02302"/>
    <w:rsid w:val="00C025BD"/>
    <w:rsid w:val="00C02BA7"/>
    <w:rsid w:val="00C03CDD"/>
    <w:rsid w:val="00C0534B"/>
    <w:rsid w:val="00C062A6"/>
    <w:rsid w:val="00C11108"/>
    <w:rsid w:val="00C13883"/>
    <w:rsid w:val="00C14E14"/>
    <w:rsid w:val="00C16382"/>
    <w:rsid w:val="00C16B30"/>
    <w:rsid w:val="00C22900"/>
    <w:rsid w:val="00C23378"/>
    <w:rsid w:val="00C2352F"/>
    <w:rsid w:val="00C2486C"/>
    <w:rsid w:val="00C27473"/>
    <w:rsid w:val="00C31F94"/>
    <w:rsid w:val="00C321BB"/>
    <w:rsid w:val="00C33A9B"/>
    <w:rsid w:val="00C3611E"/>
    <w:rsid w:val="00C36F7F"/>
    <w:rsid w:val="00C379D6"/>
    <w:rsid w:val="00C40AA0"/>
    <w:rsid w:val="00C42E11"/>
    <w:rsid w:val="00C4454E"/>
    <w:rsid w:val="00C453F3"/>
    <w:rsid w:val="00C45D86"/>
    <w:rsid w:val="00C46564"/>
    <w:rsid w:val="00C46FB6"/>
    <w:rsid w:val="00C47033"/>
    <w:rsid w:val="00C50D4D"/>
    <w:rsid w:val="00C51DAD"/>
    <w:rsid w:val="00C521BA"/>
    <w:rsid w:val="00C545DF"/>
    <w:rsid w:val="00C55822"/>
    <w:rsid w:val="00C56979"/>
    <w:rsid w:val="00C63271"/>
    <w:rsid w:val="00C64B9E"/>
    <w:rsid w:val="00C64C9D"/>
    <w:rsid w:val="00C700A1"/>
    <w:rsid w:val="00C7226A"/>
    <w:rsid w:val="00C72996"/>
    <w:rsid w:val="00C72CA8"/>
    <w:rsid w:val="00C7382B"/>
    <w:rsid w:val="00C73BE0"/>
    <w:rsid w:val="00C743CA"/>
    <w:rsid w:val="00C753E8"/>
    <w:rsid w:val="00C77215"/>
    <w:rsid w:val="00C82208"/>
    <w:rsid w:val="00C845F8"/>
    <w:rsid w:val="00C8727C"/>
    <w:rsid w:val="00C90002"/>
    <w:rsid w:val="00C90754"/>
    <w:rsid w:val="00C90BDD"/>
    <w:rsid w:val="00C914CF"/>
    <w:rsid w:val="00C91743"/>
    <w:rsid w:val="00C93743"/>
    <w:rsid w:val="00C9634E"/>
    <w:rsid w:val="00CA1A9E"/>
    <w:rsid w:val="00CA328E"/>
    <w:rsid w:val="00CA3A87"/>
    <w:rsid w:val="00CA4E80"/>
    <w:rsid w:val="00CA4F9B"/>
    <w:rsid w:val="00CA5F13"/>
    <w:rsid w:val="00CA72E0"/>
    <w:rsid w:val="00CB002C"/>
    <w:rsid w:val="00CB0E50"/>
    <w:rsid w:val="00CB4642"/>
    <w:rsid w:val="00CB48F7"/>
    <w:rsid w:val="00CB4FE7"/>
    <w:rsid w:val="00CB546E"/>
    <w:rsid w:val="00CB6F64"/>
    <w:rsid w:val="00CB7D6C"/>
    <w:rsid w:val="00CC1495"/>
    <w:rsid w:val="00CC15EC"/>
    <w:rsid w:val="00CC2959"/>
    <w:rsid w:val="00CC31BD"/>
    <w:rsid w:val="00CC43C3"/>
    <w:rsid w:val="00CC5D65"/>
    <w:rsid w:val="00CD6465"/>
    <w:rsid w:val="00CD6B5D"/>
    <w:rsid w:val="00CD7DC8"/>
    <w:rsid w:val="00CE0474"/>
    <w:rsid w:val="00CE1BEF"/>
    <w:rsid w:val="00CE1DC2"/>
    <w:rsid w:val="00CE6D3E"/>
    <w:rsid w:val="00CF0FAB"/>
    <w:rsid w:val="00CF4298"/>
    <w:rsid w:val="00CF6FBB"/>
    <w:rsid w:val="00CF7761"/>
    <w:rsid w:val="00D012E0"/>
    <w:rsid w:val="00D012E2"/>
    <w:rsid w:val="00D01D7E"/>
    <w:rsid w:val="00D02DD2"/>
    <w:rsid w:val="00D05C79"/>
    <w:rsid w:val="00D1140B"/>
    <w:rsid w:val="00D120E8"/>
    <w:rsid w:val="00D1423A"/>
    <w:rsid w:val="00D142E0"/>
    <w:rsid w:val="00D1456A"/>
    <w:rsid w:val="00D22AC7"/>
    <w:rsid w:val="00D230FA"/>
    <w:rsid w:val="00D231AA"/>
    <w:rsid w:val="00D23556"/>
    <w:rsid w:val="00D23C8D"/>
    <w:rsid w:val="00D26148"/>
    <w:rsid w:val="00D30B33"/>
    <w:rsid w:val="00D33655"/>
    <w:rsid w:val="00D336D0"/>
    <w:rsid w:val="00D362C8"/>
    <w:rsid w:val="00D365C1"/>
    <w:rsid w:val="00D368F8"/>
    <w:rsid w:val="00D371F7"/>
    <w:rsid w:val="00D432D6"/>
    <w:rsid w:val="00D43C58"/>
    <w:rsid w:val="00D43D52"/>
    <w:rsid w:val="00D442B3"/>
    <w:rsid w:val="00D44840"/>
    <w:rsid w:val="00D449A4"/>
    <w:rsid w:val="00D44F2F"/>
    <w:rsid w:val="00D45968"/>
    <w:rsid w:val="00D45E03"/>
    <w:rsid w:val="00D45E61"/>
    <w:rsid w:val="00D46384"/>
    <w:rsid w:val="00D466E3"/>
    <w:rsid w:val="00D46A27"/>
    <w:rsid w:val="00D52D14"/>
    <w:rsid w:val="00D5418B"/>
    <w:rsid w:val="00D548BC"/>
    <w:rsid w:val="00D55B2E"/>
    <w:rsid w:val="00D55B3A"/>
    <w:rsid w:val="00D55FFC"/>
    <w:rsid w:val="00D6098F"/>
    <w:rsid w:val="00D60A79"/>
    <w:rsid w:val="00D65297"/>
    <w:rsid w:val="00D65BD1"/>
    <w:rsid w:val="00D7159F"/>
    <w:rsid w:val="00D7244D"/>
    <w:rsid w:val="00D74640"/>
    <w:rsid w:val="00D74930"/>
    <w:rsid w:val="00D74A4A"/>
    <w:rsid w:val="00D74C39"/>
    <w:rsid w:val="00D759F6"/>
    <w:rsid w:val="00D766E4"/>
    <w:rsid w:val="00D76BCF"/>
    <w:rsid w:val="00D77364"/>
    <w:rsid w:val="00D83104"/>
    <w:rsid w:val="00D835D8"/>
    <w:rsid w:val="00D837D8"/>
    <w:rsid w:val="00D854B7"/>
    <w:rsid w:val="00D855F4"/>
    <w:rsid w:val="00D8584B"/>
    <w:rsid w:val="00D9565C"/>
    <w:rsid w:val="00D96F62"/>
    <w:rsid w:val="00DA0B55"/>
    <w:rsid w:val="00DA3231"/>
    <w:rsid w:val="00DA5469"/>
    <w:rsid w:val="00DA5740"/>
    <w:rsid w:val="00DA6065"/>
    <w:rsid w:val="00DA6F3F"/>
    <w:rsid w:val="00DA7B2A"/>
    <w:rsid w:val="00DB0799"/>
    <w:rsid w:val="00DB1C97"/>
    <w:rsid w:val="00DB257C"/>
    <w:rsid w:val="00DB58BD"/>
    <w:rsid w:val="00DB67E5"/>
    <w:rsid w:val="00DB7C0B"/>
    <w:rsid w:val="00DC0424"/>
    <w:rsid w:val="00DC252D"/>
    <w:rsid w:val="00DC2534"/>
    <w:rsid w:val="00DD0103"/>
    <w:rsid w:val="00DD0985"/>
    <w:rsid w:val="00DD102F"/>
    <w:rsid w:val="00DD2FA7"/>
    <w:rsid w:val="00DD62A9"/>
    <w:rsid w:val="00DE3AEB"/>
    <w:rsid w:val="00DE50D4"/>
    <w:rsid w:val="00DE52A4"/>
    <w:rsid w:val="00DE5C6F"/>
    <w:rsid w:val="00DE6FCB"/>
    <w:rsid w:val="00DE784D"/>
    <w:rsid w:val="00DE7A4A"/>
    <w:rsid w:val="00DF0C0A"/>
    <w:rsid w:val="00DF2AB9"/>
    <w:rsid w:val="00DF3E4D"/>
    <w:rsid w:val="00DF3F8B"/>
    <w:rsid w:val="00DF51C8"/>
    <w:rsid w:val="00DF5C28"/>
    <w:rsid w:val="00DF5D64"/>
    <w:rsid w:val="00E00304"/>
    <w:rsid w:val="00E0100A"/>
    <w:rsid w:val="00E01768"/>
    <w:rsid w:val="00E0636A"/>
    <w:rsid w:val="00E06EA2"/>
    <w:rsid w:val="00E07727"/>
    <w:rsid w:val="00E10378"/>
    <w:rsid w:val="00E11108"/>
    <w:rsid w:val="00E12653"/>
    <w:rsid w:val="00E12E26"/>
    <w:rsid w:val="00E158BF"/>
    <w:rsid w:val="00E16608"/>
    <w:rsid w:val="00E17526"/>
    <w:rsid w:val="00E205DF"/>
    <w:rsid w:val="00E2080E"/>
    <w:rsid w:val="00E22070"/>
    <w:rsid w:val="00E264C4"/>
    <w:rsid w:val="00E27C59"/>
    <w:rsid w:val="00E30E7A"/>
    <w:rsid w:val="00E321B5"/>
    <w:rsid w:val="00E34694"/>
    <w:rsid w:val="00E36047"/>
    <w:rsid w:val="00E36CDF"/>
    <w:rsid w:val="00E41391"/>
    <w:rsid w:val="00E44A42"/>
    <w:rsid w:val="00E44ED5"/>
    <w:rsid w:val="00E4526B"/>
    <w:rsid w:val="00E45721"/>
    <w:rsid w:val="00E52933"/>
    <w:rsid w:val="00E537F1"/>
    <w:rsid w:val="00E55D04"/>
    <w:rsid w:val="00E6123C"/>
    <w:rsid w:val="00E65ADD"/>
    <w:rsid w:val="00E65E92"/>
    <w:rsid w:val="00E6642B"/>
    <w:rsid w:val="00E70237"/>
    <w:rsid w:val="00E722A9"/>
    <w:rsid w:val="00E7482D"/>
    <w:rsid w:val="00E75B24"/>
    <w:rsid w:val="00E75C98"/>
    <w:rsid w:val="00E762CB"/>
    <w:rsid w:val="00E76F5F"/>
    <w:rsid w:val="00E808A8"/>
    <w:rsid w:val="00E82D88"/>
    <w:rsid w:val="00E83C94"/>
    <w:rsid w:val="00E84158"/>
    <w:rsid w:val="00E855ED"/>
    <w:rsid w:val="00E90639"/>
    <w:rsid w:val="00E934F3"/>
    <w:rsid w:val="00E9530A"/>
    <w:rsid w:val="00EA06C1"/>
    <w:rsid w:val="00EA1E2A"/>
    <w:rsid w:val="00EA517C"/>
    <w:rsid w:val="00EA5F7C"/>
    <w:rsid w:val="00EA70AF"/>
    <w:rsid w:val="00EB0097"/>
    <w:rsid w:val="00EB03C8"/>
    <w:rsid w:val="00EB2502"/>
    <w:rsid w:val="00EB3332"/>
    <w:rsid w:val="00EB50FD"/>
    <w:rsid w:val="00EC2130"/>
    <w:rsid w:val="00EC78FD"/>
    <w:rsid w:val="00ED00E3"/>
    <w:rsid w:val="00ED183B"/>
    <w:rsid w:val="00ED275C"/>
    <w:rsid w:val="00ED4130"/>
    <w:rsid w:val="00ED5F77"/>
    <w:rsid w:val="00ED5F8D"/>
    <w:rsid w:val="00EE12D4"/>
    <w:rsid w:val="00EE329C"/>
    <w:rsid w:val="00EE355B"/>
    <w:rsid w:val="00EE52A4"/>
    <w:rsid w:val="00EE552A"/>
    <w:rsid w:val="00EE69C8"/>
    <w:rsid w:val="00EE6A18"/>
    <w:rsid w:val="00EF229E"/>
    <w:rsid w:val="00EF2D5A"/>
    <w:rsid w:val="00EF3D3F"/>
    <w:rsid w:val="00EF4434"/>
    <w:rsid w:val="00EF4586"/>
    <w:rsid w:val="00EF4FB1"/>
    <w:rsid w:val="00EF66C9"/>
    <w:rsid w:val="00EF77DB"/>
    <w:rsid w:val="00EF7A87"/>
    <w:rsid w:val="00EF7A89"/>
    <w:rsid w:val="00F035CC"/>
    <w:rsid w:val="00F03A19"/>
    <w:rsid w:val="00F03F57"/>
    <w:rsid w:val="00F14253"/>
    <w:rsid w:val="00F15417"/>
    <w:rsid w:val="00F1653D"/>
    <w:rsid w:val="00F20460"/>
    <w:rsid w:val="00F22D0C"/>
    <w:rsid w:val="00F240E0"/>
    <w:rsid w:val="00F24D49"/>
    <w:rsid w:val="00F26E1C"/>
    <w:rsid w:val="00F335D7"/>
    <w:rsid w:val="00F34CE8"/>
    <w:rsid w:val="00F3629C"/>
    <w:rsid w:val="00F37B77"/>
    <w:rsid w:val="00F430CC"/>
    <w:rsid w:val="00F44676"/>
    <w:rsid w:val="00F46D87"/>
    <w:rsid w:val="00F509E4"/>
    <w:rsid w:val="00F51072"/>
    <w:rsid w:val="00F52A77"/>
    <w:rsid w:val="00F56060"/>
    <w:rsid w:val="00F62216"/>
    <w:rsid w:val="00F65BCC"/>
    <w:rsid w:val="00F665A3"/>
    <w:rsid w:val="00F672E8"/>
    <w:rsid w:val="00F67ACE"/>
    <w:rsid w:val="00F701C7"/>
    <w:rsid w:val="00F718F8"/>
    <w:rsid w:val="00F72FE3"/>
    <w:rsid w:val="00F73D7E"/>
    <w:rsid w:val="00F74CDB"/>
    <w:rsid w:val="00F762CA"/>
    <w:rsid w:val="00F764CE"/>
    <w:rsid w:val="00F822CB"/>
    <w:rsid w:val="00F8540A"/>
    <w:rsid w:val="00F869F9"/>
    <w:rsid w:val="00F86CB6"/>
    <w:rsid w:val="00F87104"/>
    <w:rsid w:val="00F90B87"/>
    <w:rsid w:val="00F921E2"/>
    <w:rsid w:val="00F93AD8"/>
    <w:rsid w:val="00F93E4A"/>
    <w:rsid w:val="00F945A2"/>
    <w:rsid w:val="00F953F2"/>
    <w:rsid w:val="00F9655D"/>
    <w:rsid w:val="00F9696B"/>
    <w:rsid w:val="00F97866"/>
    <w:rsid w:val="00FA0F6C"/>
    <w:rsid w:val="00FA2D41"/>
    <w:rsid w:val="00FA2F90"/>
    <w:rsid w:val="00FA3033"/>
    <w:rsid w:val="00FA4147"/>
    <w:rsid w:val="00FA4E7E"/>
    <w:rsid w:val="00FA67D1"/>
    <w:rsid w:val="00FB01AB"/>
    <w:rsid w:val="00FB06F9"/>
    <w:rsid w:val="00FB26D2"/>
    <w:rsid w:val="00FB278C"/>
    <w:rsid w:val="00FB4CA8"/>
    <w:rsid w:val="00FB4F79"/>
    <w:rsid w:val="00FB5049"/>
    <w:rsid w:val="00FC082B"/>
    <w:rsid w:val="00FC5A91"/>
    <w:rsid w:val="00FD03D1"/>
    <w:rsid w:val="00FD170C"/>
    <w:rsid w:val="00FD3138"/>
    <w:rsid w:val="00FD5E1D"/>
    <w:rsid w:val="00FD653A"/>
    <w:rsid w:val="00FE14C6"/>
    <w:rsid w:val="00FE21CB"/>
    <w:rsid w:val="00FE5893"/>
    <w:rsid w:val="00FF2D98"/>
    <w:rsid w:val="00FF642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f" fillcolor="white" stroke="f">
      <v:fill color="white" on="f"/>
      <v:stroke on="f"/>
    </o:shapedefaults>
    <o:shapelayout v:ext="edit">
      <o:idmap v:ext="edit" data="1"/>
    </o:shapelayout>
  </w:shapeDefaults>
  <w:decimalSymbol w:val=","/>
  <w:listSeparator w:val=";"/>
  <w14:docId w14:val="5B030D5A"/>
  <w15:docId w15:val="{1184B8A2-98BF-4D14-BC1A-46DBC412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360" w:lineRule="auto"/>
    </w:pPr>
    <w:rPr>
      <w:rFonts w:ascii="Arial" w:hAnsi="Arial" w:cs="Arial"/>
      <w:sz w:val="22"/>
      <w:szCs w:val="24"/>
      <w:lang w:val="de-AT"/>
    </w:rPr>
  </w:style>
  <w:style w:type="paragraph" w:styleId="berschrift1">
    <w:name w:val="heading 1"/>
    <w:basedOn w:val="Standard"/>
    <w:next w:val="Standard"/>
    <w:link w:val="berschrift1Zchn"/>
    <w:uiPriority w:val="9"/>
    <w:qFormat/>
    <w:rsid w:val="00494F61"/>
    <w:pPr>
      <w:keepNext/>
      <w:spacing w:before="240" w:after="120"/>
      <w:outlineLvl w:val="0"/>
    </w:pPr>
    <w:rPr>
      <w:b/>
      <w:bCs/>
      <w:sz w:val="28"/>
    </w:rPr>
  </w:style>
  <w:style w:type="paragraph" w:styleId="berschrift2">
    <w:name w:val="heading 2"/>
    <w:basedOn w:val="Standard"/>
    <w:next w:val="Standard"/>
    <w:link w:val="berschrift2Zchn"/>
    <w:uiPriority w:val="9"/>
    <w:qFormat/>
    <w:rsid w:val="00761BE1"/>
    <w:pPr>
      <w:widowControl w:val="0"/>
      <w:overflowPunct w:val="0"/>
      <w:autoSpaceDE w:val="0"/>
      <w:autoSpaceDN w:val="0"/>
      <w:adjustRightInd w:val="0"/>
      <w:spacing w:before="480" w:after="360"/>
      <w:jc w:val="both"/>
      <w:textAlignment w:val="baseline"/>
      <w:outlineLvl w:val="1"/>
    </w:pPr>
    <w:rPr>
      <w:b/>
      <w:noProof/>
      <w:sz w:val="24"/>
      <w:szCs w:val="20"/>
      <w:lang w:val="de-DE"/>
    </w:rPr>
  </w:style>
  <w:style w:type="paragraph" w:styleId="berschrift3">
    <w:name w:val="heading 3"/>
    <w:basedOn w:val="Standard"/>
    <w:next w:val="Standard"/>
    <w:link w:val="berschrift3Zchn"/>
    <w:uiPriority w:val="9"/>
    <w:qFormat/>
    <w:rsid w:val="00494F61"/>
    <w:pPr>
      <w:widowControl w:val="0"/>
      <w:overflowPunct w:val="0"/>
      <w:autoSpaceDE w:val="0"/>
      <w:autoSpaceDN w:val="0"/>
      <w:adjustRightInd w:val="0"/>
      <w:spacing w:before="240" w:after="60"/>
      <w:jc w:val="both"/>
      <w:textAlignment w:val="baseline"/>
      <w:outlineLvl w:val="2"/>
    </w:pPr>
    <w:rPr>
      <w:b/>
      <w:noProof/>
      <w:szCs w:val="20"/>
      <w:lang w:val="de-DE"/>
    </w:rPr>
  </w:style>
  <w:style w:type="paragraph" w:styleId="berschrift4">
    <w:name w:val="heading 4"/>
    <w:basedOn w:val="Standard"/>
    <w:next w:val="Standard"/>
    <w:link w:val="berschrift4Zchn"/>
    <w:uiPriority w:val="9"/>
    <w:qFormat/>
    <w:rsid w:val="00494F61"/>
    <w:pPr>
      <w:keepNext/>
      <w:spacing w:before="240" w:after="60"/>
      <w:jc w:val="both"/>
      <w:outlineLvl w:val="3"/>
    </w:pPr>
    <w:rPr>
      <w:b/>
      <w:bCs/>
      <w:szCs w:val="28"/>
    </w:rPr>
  </w:style>
  <w:style w:type="paragraph" w:styleId="berschrift5">
    <w:name w:val="heading 5"/>
    <w:basedOn w:val="Standard"/>
    <w:next w:val="Standard"/>
    <w:qFormat/>
    <w:pPr>
      <w:keepNext/>
      <w:numPr>
        <w:ilvl w:val="4"/>
        <w:numId w:val="1"/>
      </w:numPr>
      <w:outlineLvl w:val="4"/>
    </w:pPr>
    <w:rPr>
      <w:b/>
      <w:bCs/>
    </w:rPr>
  </w:style>
  <w:style w:type="paragraph" w:styleId="berschrift6">
    <w:name w:val="heading 6"/>
    <w:basedOn w:val="Standard"/>
    <w:next w:val="Standard"/>
    <w:qFormat/>
    <w:pPr>
      <w:numPr>
        <w:ilvl w:val="5"/>
        <w:numId w:val="1"/>
      </w:numPr>
      <w:spacing w:before="240" w:after="60"/>
      <w:outlineLvl w:val="5"/>
    </w:pPr>
    <w:rPr>
      <w:b/>
      <w:bCs/>
      <w:szCs w:val="22"/>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iCs/>
    </w:rPr>
  </w:style>
  <w:style w:type="paragraph" w:styleId="berschrift9">
    <w:name w:val="heading 9"/>
    <w:basedOn w:val="Standard"/>
    <w:next w:val="Standard"/>
    <w:qFormat/>
    <w:pPr>
      <w:numPr>
        <w:ilvl w:val="8"/>
        <w:numId w:val="1"/>
      </w:num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bCs/>
    </w:rPr>
  </w:style>
  <w:style w:type="paragraph" w:styleId="Titel">
    <w:name w:val="Title"/>
    <w:basedOn w:val="Standard"/>
    <w:link w:val="TitelZchn"/>
    <w:uiPriority w:val="10"/>
    <w:qFormat/>
    <w:pPr>
      <w:jc w:val="center"/>
    </w:pPr>
    <w:rPr>
      <w:b/>
      <w:bCs/>
    </w:rPr>
  </w:style>
  <w:style w:type="character" w:styleId="Hyperlink">
    <w:name w:val="Hyperlink"/>
    <w:basedOn w:val="Absatz-Standardschriftart"/>
    <w:uiPriority w:val="99"/>
    <w:rPr>
      <w:color w:val="0000FF"/>
      <w:u w:val="single"/>
    </w:rPr>
  </w:style>
  <w:style w:type="paragraph" w:styleId="Verzeichnis1">
    <w:name w:val="toc 1"/>
    <w:basedOn w:val="Standard"/>
    <w:next w:val="Standard"/>
    <w:autoRedefine/>
    <w:uiPriority w:val="39"/>
    <w:pPr>
      <w:tabs>
        <w:tab w:val="left" w:pos="567"/>
        <w:tab w:val="right" w:leader="dot" w:pos="9060"/>
      </w:tabs>
    </w:pPr>
    <w:rPr>
      <w:b/>
      <w:bCs/>
      <w:noProof/>
      <w:szCs w:val="28"/>
    </w:rPr>
  </w:style>
  <w:style w:type="paragraph" w:styleId="Verzeichnis2">
    <w:name w:val="toc 2"/>
    <w:basedOn w:val="Standard"/>
    <w:next w:val="Standard"/>
    <w:autoRedefine/>
    <w:uiPriority w:val="39"/>
    <w:pPr>
      <w:tabs>
        <w:tab w:val="left" w:pos="1200"/>
        <w:tab w:val="right" w:leader="dot" w:pos="9060"/>
      </w:tabs>
      <w:ind w:left="567"/>
    </w:pPr>
    <w:rPr>
      <w:bCs/>
      <w:noProof/>
      <w:sz w:val="20"/>
      <w:szCs w:val="22"/>
    </w:rPr>
  </w:style>
  <w:style w:type="paragraph" w:styleId="Verzeichnis3">
    <w:name w:val="toc 3"/>
    <w:basedOn w:val="Standard"/>
    <w:next w:val="Standard"/>
    <w:autoRedefine/>
    <w:uiPriority w:val="39"/>
    <w:rsid w:val="002F2FA2"/>
    <w:pPr>
      <w:tabs>
        <w:tab w:val="left" w:pos="1680"/>
        <w:tab w:val="right" w:leader="dot" w:pos="9060"/>
      </w:tabs>
      <w:ind w:left="851"/>
    </w:pPr>
    <w:rPr>
      <w:noProof/>
      <w:sz w:val="18"/>
      <w:szCs w:val="18"/>
    </w:rPr>
  </w:style>
  <w:style w:type="paragraph" w:customStyle="1" w:styleId="LegAbsatz">
    <w:name w:val="&lt;LegAbsatz&gt;"/>
    <w:basedOn w:val="Standard"/>
    <w:pPr>
      <w:spacing w:before="80" w:line="240" w:lineRule="atLeast"/>
      <w:ind w:firstLine="397"/>
      <w:jc w:val="both"/>
    </w:pPr>
    <w:rPr>
      <w:szCs w:val="20"/>
    </w:rPr>
  </w:style>
  <w:style w:type="paragraph" w:styleId="Textkrper3">
    <w:name w:val="Body Text 3"/>
    <w:basedOn w:val="Standard"/>
    <w:pPr>
      <w:jc w:val="both"/>
    </w:pPr>
  </w:style>
  <w:style w:type="paragraph" w:styleId="Textkrper-Einzug2">
    <w:name w:val="Body Text Indent 2"/>
    <w:basedOn w:val="Standard"/>
    <w:pPr>
      <w:ind w:left="1080"/>
    </w:pPr>
  </w:style>
  <w:style w:type="paragraph" w:styleId="Fuzeile">
    <w:name w:val="footer"/>
    <w:basedOn w:val="Standard"/>
    <w:link w:val="FuzeileZchn"/>
    <w:uiPriority w:val="99"/>
    <w:pPr>
      <w:tabs>
        <w:tab w:val="center" w:pos="4536"/>
        <w:tab w:val="right" w:pos="9072"/>
      </w:tabs>
      <w:spacing w:before="120" w:after="120"/>
      <w:jc w:val="both"/>
    </w:pPr>
    <w:rPr>
      <w:sz w:val="20"/>
    </w:rPr>
  </w:style>
  <w:style w:type="paragraph" w:styleId="Kopfzeile">
    <w:name w:val="header"/>
    <w:basedOn w:val="Standard"/>
    <w:link w:val="KopfzeileZchn"/>
    <w:uiPriority w:val="99"/>
    <w:pPr>
      <w:tabs>
        <w:tab w:val="center" w:pos="4536"/>
        <w:tab w:val="right" w:pos="9072"/>
      </w:tabs>
    </w:pPr>
    <w:rPr>
      <w:sz w:val="20"/>
    </w:rPr>
  </w:style>
  <w:style w:type="paragraph" w:styleId="Textkrper-Einzug3">
    <w:name w:val="Body Text Indent 3"/>
    <w:basedOn w:val="Standard"/>
    <w:pPr>
      <w:ind w:left="360"/>
      <w:jc w:val="both"/>
    </w:pPr>
  </w:style>
  <w:style w:type="character" w:styleId="Funotenzeichen">
    <w:name w:val="footnote reference"/>
    <w:basedOn w:val="Absatz-Standardschriftart"/>
    <w:uiPriority w:val="99"/>
    <w:semiHidden/>
    <w:rPr>
      <w:vertAlign w:val="superscript"/>
    </w:rPr>
  </w:style>
  <w:style w:type="paragraph" w:styleId="Funotentext">
    <w:name w:val="footnote text"/>
    <w:basedOn w:val="Standard"/>
    <w:link w:val="FunotentextZchn"/>
    <w:uiPriority w:val="99"/>
    <w:semiHidden/>
    <w:pPr>
      <w:jc w:val="both"/>
    </w:pPr>
    <w:rPr>
      <w:sz w:val="20"/>
      <w:szCs w:val="20"/>
    </w:rPr>
  </w:style>
  <w:style w:type="paragraph" w:customStyle="1" w:styleId="12PromKlEinlSatz">
    <w:name w:val="12_PromKl_EinlSatz"/>
    <w:basedOn w:val="Standard"/>
    <w:pPr>
      <w:keepNext/>
      <w:spacing w:before="160" w:line="220" w:lineRule="exact"/>
      <w:ind w:firstLine="397"/>
      <w:jc w:val="both"/>
    </w:pPr>
    <w:rPr>
      <w:snapToGrid w:val="0"/>
      <w:sz w:val="20"/>
      <w:szCs w:val="20"/>
    </w:rPr>
  </w:style>
  <w:style w:type="paragraph" w:customStyle="1" w:styleId="51Abs">
    <w:name w:val="51_Abs"/>
    <w:basedOn w:val="Standard"/>
    <w:qFormat/>
    <w:pPr>
      <w:spacing w:before="80" w:line="220" w:lineRule="exact"/>
      <w:ind w:firstLine="397"/>
      <w:jc w:val="both"/>
    </w:pPr>
    <w:rPr>
      <w:snapToGrid w:val="0"/>
      <w:sz w:val="20"/>
      <w:szCs w:val="20"/>
    </w:rPr>
  </w:style>
  <w:style w:type="paragraph" w:customStyle="1" w:styleId="52Ziffere1">
    <w:name w:val="52_Ziffer_e1"/>
    <w:basedOn w:val="Standard"/>
    <w:qFormat/>
    <w:pPr>
      <w:tabs>
        <w:tab w:val="right" w:pos="624"/>
        <w:tab w:val="left" w:pos="680"/>
      </w:tabs>
      <w:spacing w:before="40" w:line="220" w:lineRule="exact"/>
      <w:ind w:left="680" w:hanging="680"/>
      <w:jc w:val="both"/>
    </w:pPr>
    <w:rPr>
      <w:snapToGrid w:val="0"/>
      <w:sz w:val="20"/>
      <w:szCs w:val="20"/>
    </w:rPr>
  </w:style>
  <w:style w:type="paragraph" w:customStyle="1" w:styleId="45UeberschrPara">
    <w:name w:val="45_UeberschrPara"/>
    <w:basedOn w:val="Standard"/>
    <w:next w:val="51Abs"/>
    <w:qFormat/>
    <w:pPr>
      <w:keepNext/>
      <w:spacing w:before="80" w:line="220" w:lineRule="exact"/>
      <w:jc w:val="center"/>
    </w:pPr>
    <w:rPr>
      <w:b/>
      <w:snapToGrid w:val="0"/>
      <w:sz w:val="20"/>
      <w:szCs w:val="20"/>
    </w:rPr>
  </w:style>
  <w:style w:type="paragraph" w:customStyle="1" w:styleId="LegParagr">
    <w:name w:val="&lt;LegParagr&gt;"/>
    <w:basedOn w:val="Standard"/>
    <w:pPr>
      <w:spacing w:before="80"/>
      <w:ind w:firstLine="397"/>
      <w:jc w:val="both"/>
    </w:pPr>
    <w:rPr>
      <w:sz w:val="20"/>
      <w:szCs w:val="20"/>
    </w:rPr>
  </w:style>
  <w:style w:type="paragraph" w:customStyle="1" w:styleId="11Titel">
    <w:name w:val="11_Titel"/>
    <w:basedOn w:val="Standard"/>
    <w:next w:val="12PromKlEinlSatz"/>
    <w:pPr>
      <w:suppressAutoHyphens/>
      <w:spacing w:before="480" w:line="220" w:lineRule="exact"/>
      <w:jc w:val="both"/>
    </w:pPr>
    <w:rPr>
      <w:b/>
      <w:snapToGrid w:val="0"/>
      <w:szCs w:val="20"/>
    </w:rPr>
  </w:style>
  <w:style w:type="character" w:customStyle="1" w:styleId="991GldSymbol">
    <w:name w:val="991_GldSymbol"/>
    <w:rPr>
      <w:b/>
    </w:rPr>
  </w:style>
  <w:style w:type="paragraph" w:customStyle="1" w:styleId="71Anlagenbez">
    <w:name w:val="71_Anlagenbez"/>
    <w:basedOn w:val="Standard"/>
    <w:pPr>
      <w:spacing w:before="160" w:line="220" w:lineRule="exact"/>
      <w:jc w:val="right"/>
    </w:pPr>
    <w:rPr>
      <w:b/>
      <w:snapToGrid w:val="0"/>
      <w:szCs w:val="20"/>
    </w:rPr>
  </w:style>
  <w:style w:type="paragraph" w:customStyle="1" w:styleId="83ErlText">
    <w:name w:val="83_ErlText"/>
    <w:basedOn w:val="Standard"/>
    <w:pPr>
      <w:spacing w:before="80" w:line="220" w:lineRule="exact"/>
      <w:jc w:val="both"/>
    </w:pPr>
    <w:rPr>
      <w:snapToGrid w:val="0"/>
      <w:sz w:val="20"/>
      <w:szCs w:val="20"/>
    </w:rPr>
  </w:style>
  <w:style w:type="paragraph" w:customStyle="1" w:styleId="81ErlUeberschrZ">
    <w:name w:val="81_ErlUeberschrZ"/>
    <w:basedOn w:val="Standard"/>
    <w:next w:val="Standard"/>
    <w:pPr>
      <w:keepNext/>
      <w:spacing w:before="320" w:line="220" w:lineRule="exact"/>
      <w:jc w:val="center"/>
    </w:pPr>
    <w:rPr>
      <w:b/>
      <w:snapToGrid w:val="0"/>
      <w:szCs w:val="20"/>
    </w:rPr>
  </w:style>
  <w:style w:type="paragraph" w:customStyle="1" w:styleId="82ErlUeberschrL">
    <w:name w:val="82_ErlUeberschrL"/>
    <w:basedOn w:val="Standard"/>
    <w:next w:val="83ErlText"/>
    <w:pPr>
      <w:keepNext/>
      <w:spacing w:before="80" w:line="220" w:lineRule="exact"/>
      <w:jc w:val="both"/>
    </w:pPr>
    <w:rPr>
      <w:b/>
      <w:snapToGrid w:val="0"/>
      <w:sz w:val="20"/>
      <w:szCs w:val="20"/>
    </w:rPr>
  </w:style>
  <w:style w:type="paragraph" w:styleId="Verzeichnis4">
    <w:name w:val="toc 4"/>
    <w:basedOn w:val="Standard"/>
    <w:next w:val="Standard"/>
    <w:autoRedefine/>
    <w:uiPriority w:val="39"/>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Textkrper2">
    <w:name w:val="Body Text 2"/>
    <w:basedOn w:val="Standard"/>
    <w:rPr>
      <w:snapToGrid w:val="0"/>
      <w:sz w:val="20"/>
      <w:szCs w:val="20"/>
    </w:rPr>
  </w:style>
  <w:style w:type="character" w:styleId="Seitenzahl">
    <w:name w:val="page number"/>
    <w:basedOn w:val="Absatz-Standardschriftart"/>
  </w:style>
  <w:style w:type="paragraph" w:customStyle="1" w:styleId="xl35">
    <w:name w:val="xl35"/>
    <w:basedOn w:val="Standard"/>
    <w:pPr>
      <w:pBdr>
        <w:top w:val="single" w:sz="4" w:space="0" w:color="auto"/>
        <w:left w:val="single" w:sz="4" w:space="0" w:color="auto"/>
      </w:pBdr>
      <w:shd w:val="clear" w:color="auto" w:fill="CCFFCC"/>
      <w:spacing w:before="100" w:beforeAutospacing="1" w:after="100" w:afterAutospacing="1"/>
    </w:pPr>
    <w:rPr>
      <w:rFonts w:eastAsia="Arial Unicode MS"/>
      <w:b/>
      <w:bCs/>
    </w:rPr>
  </w:style>
  <w:style w:type="paragraph" w:customStyle="1" w:styleId="font5">
    <w:name w:val="font5"/>
    <w:basedOn w:val="Standard"/>
    <w:pPr>
      <w:spacing w:before="100" w:beforeAutospacing="1" w:after="100" w:afterAutospacing="1"/>
    </w:pPr>
    <w:rPr>
      <w:rFonts w:eastAsia="Arial Unicode MS"/>
      <w:sz w:val="20"/>
      <w:szCs w:val="20"/>
    </w:rPr>
  </w:style>
  <w:style w:type="paragraph" w:customStyle="1" w:styleId="font6">
    <w:name w:val="font6"/>
    <w:basedOn w:val="Standard"/>
    <w:pPr>
      <w:spacing w:before="100" w:beforeAutospacing="1" w:after="100" w:afterAutospacing="1"/>
    </w:pPr>
    <w:rPr>
      <w:rFonts w:eastAsia="Arial Unicode MS"/>
      <w:b/>
      <w:bCs/>
      <w:sz w:val="20"/>
      <w:szCs w:val="20"/>
    </w:rPr>
  </w:style>
  <w:style w:type="paragraph" w:customStyle="1" w:styleId="font7">
    <w:name w:val="font7"/>
    <w:basedOn w:val="Standard"/>
    <w:pPr>
      <w:spacing w:before="100" w:beforeAutospacing="1" w:after="100" w:afterAutospacing="1"/>
    </w:pPr>
    <w:rPr>
      <w:rFonts w:eastAsia="Arial Unicode MS"/>
      <w:color w:val="808080"/>
      <w:sz w:val="20"/>
      <w:szCs w:val="20"/>
    </w:rPr>
  </w:style>
  <w:style w:type="paragraph" w:customStyle="1" w:styleId="font8">
    <w:name w:val="font8"/>
    <w:basedOn w:val="Standard"/>
    <w:pPr>
      <w:spacing w:before="100" w:beforeAutospacing="1" w:after="100" w:afterAutospacing="1"/>
    </w:pPr>
    <w:rPr>
      <w:rFonts w:eastAsia="Arial Unicode MS"/>
      <w:color w:val="969696"/>
      <w:sz w:val="20"/>
      <w:szCs w:val="20"/>
    </w:rPr>
  </w:style>
  <w:style w:type="paragraph" w:customStyle="1" w:styleId="font9">
    <w:name w:val="font9"/>
    <w:basedOn w:val="Standard"/>
    <w:pPr>
      <w:spacing w:before="100" w:beforeAutospacing="1" w:after="100" w:afterAutospacing="1"/>
    </w:pPr>
    <w:rPr>
      <w:rFonts w:eastAsia="Arial Unicode MS"/>
      <w:sz w:val="20"/>
      <w:szCs w:val="20"/>
    </w:rPr>
  </w:style>
  <w:style w:type="paragraph" w:customStyle="1" w:styleId="xl25">
    <w:name w:val="xl25"/>
    <w:basedOn w:val="Standard"/>
    <w:pPr>
      <w:spacing w:before="100" w:beforeAutospacing="1" w:after="100" w:afterAutospacing="1"/>
    </w:pPr>
    <w:rPr>
      <w:rFonts w:eastAsia="Arial Unicode MS"/>
    </w:rPr>
  </w:style>
  <w:style w:type="paragraph" w:customStyle="1" w:styleId="xl26">
    <w:name w:val="xl26"/>
    <w:basedOn w:val="Standard"/>
    <w:pPr>
      <w:spacing w:before="100" w:beforeAutospacing="1" w:after="100" w:afterAutospacing="1"/>
    </w:pPr>
    <w:rPr>
      <w:rFonts w:eastAsia="Arial Unicode MS"/>
    </w:rPr>
  </w:style>
  <w:style w:type="paragraph" w:customStyle="1" w:styleId="xl27">
    <w:name w:val="xl27"/>
    <w:basedOn w:val="Standard"/>
    <w:pPr>
      <w:spacing w:before="100" w:beforeAutospacing="1" w:after="100" w:afterAutospacing="1"/>
    </w:pPr>
    <w:rPr>
      <w:rFonts w:eastAsia="Arial Unicode MS"/>
      <w:b/>
      <w:bCs/>
    </w:rPr>
  </w:style>
  <w:style w:type="paragraph" w:customStyle="1" w:styleId="xl28">
    <w:name w:val="xl28"/>
    <w:basedOn w:val="Standard"/>
    <w:pPr>
      <w:spacing w:before="100" w:beforeAutospacing="1" w:after="100" w:afterAutospacing="1"/>
    </w:pPr>
    <w:rPr>
      <w:rFonts w:eastAsia="Arial Unicode MS"/>
    </w:rPr>
  </w:style>
  <w:style w:type="paragraph" w:customStyle="1" w:styleId="xl29">
    <w:name w:val="xl29"/>
    <w:basedOn w:val="Standard"/>
    <w:pPr>
      <w:spacing w:before="100" w:beforeAutospacing="1" w:after="100" w:afterAutospacing="1"/>
    </w:pPr>
    <w:rPr>
      <w:rFonts w:eastAsia="Arial Unicode MS"/>
    </w:rPr>
  </w:style>
  <w:style w:type="paragraph" w:customStyle="1" w:styleId="xl30">
    <w:name w:val="xl30"/>
    <w:basedOn w:val="Standard"/>
    <w:pPr>
      <w:spacing w:before="100" w:beforeAutospacing="1" w:after="100" w:afterAutospacing="1"/>
    </w:pPr>
    <w:rPr>
      <w:rFonts w:eastAsia="Arial Unicode MS"/>
      <w:b/>
      <w:bCs/>
    </w:rPr>
  </w:style>
  <w:style w:type="paragraph" w:customStyle="1" w:styleId="xl31">
    <w:name w:val="xl31"/>
    <w:basedOn w:val="Standard"/>
    <w:pPr>
      <w:spacing w:before="100" w:beforeAutospacing="1" w:after="100" w:afterAutospacing="1"/>
    </w:pPr>
    <w:rPr>
      <w:rFonts w:eastAsia="Arial Unicode MS"/>
      <w:b/>
      <w:bCs/>
      <w:sz w:val="28"/>
      <w:szCs w:val="28"/>
    </w:rPr>
  </w:style>
  <w:style w:type="paragraph" w:customStyle="1" w:styleId="xl32">
    <w:name w:val="xl32"/>
    <w:basedOn w:val="Standard"/>
    <w:pPr>
      <w:spacing w:before="100" w:beforeAutospacing="1" w:after="100" w:afterAutospacing="1"/>
    </w:pPr>
    <w:rPr>
      <w:rFonts w:eastAsia="Arial Unicode MS"/>
      <w:sz w:val="28"/>
      <w:szCs w:val="28"/>
    </w:rPr>
  </w:style>
  <w:style w:type="paragraph" w:customStyle="1" w:styleId="xl33">
    <w:name w:val="xl33"/>
    <w:basedOn w:val="Standard"/>
    <w:pPr>
      <w:spacing w:before="100" w:beforeAutospacing="1" w:after="100" w:afterAutospacing="1"/>
    </w:pPr>
    <w:rPr>
      <w:rFonts w:eastAsia="Arial Unicode MS"/>
      <w:b/>
      <w:bCs/>
      <w:color w:val="FF0000"/>
    </w:rPr>
  </w:style>
  <w:style w:type="paragraph" w:styleId="Textkrper-Zeileneinzug">
    <w:name w:val="Body Text Indent"/>
    <w:basedOn w:val="Standard"/>
    <w:pPr>
      <w:ind w:left="454"/>
    </w:pPr>
    <w:rPr>
      <w:lang w:val="de-DE"/>
    </w:rPr>
  </w:style>
  <w:style w:type="character" w:styleId="BesuchterLink">
    <w:name w:val="FollowedHyperlink"/>
    <w:basedOn w:val="Absatz-Standardschriftart"/>
    <w:uiPriority w:val="99"/>
    <w:rPr>
      <w:color w:val="800080"/>
      <w:u w:val="single"/>
    </w:rPr>
  </w:style>
  <w:style w:type="paragraph" w:customStyle="1" w:styleId="xl34">
    <w:name w:val="xl34"/>
    <w:basedOn w:val="Standard"/>
    <w:pPr>
      <w:spacing w:before="100" w:beforeAutospacing="1" w:after="100" w:afterAutospacing="1"/>
    </w:pPr>
    <w:rPr>
      <w:rFonts w:eastAsia="Arial Unicode MS"/>
    </w:rPr>
  </w:style>
  <w:style w:type="paragraph" w:customStyle="1" w:styleId="xl36">
    <w:name w:val="xl36"/>
    <w:basedOn w:val="Standard"/>
    <w:pPr>
      <w:spacing w:before="100" w:beforeAutospacing="1" w:after="100" w:afterAutospacing="1"/>
    </w:pPr>
    <w:rPr>
      <w:rFonts w:eastAsia="Arial Unicode MS"/>
      <w:b/>
      <w:bCs/>
    </w:rPr>
  </w:style>
  <w:style w:type="paragraph" w:customStyle="1" w:styleId="xl37">
    <w:name w:val="xl37"/>
    <w:basedOn w:val="Standard"/>
    <w:pPr>
      <w:spacing w:before="100" w:beforeAutospacing="1" w:after="100" w:afterAutospacing="1"/>
    </w:pPr>
    <w:rPr>
      <w:rFonts w:eastAsia="Arial Unicode MS"/>
    </w:rPr>
  </w:style>
  <w:style w:type="paragraph" w:customStyle="1" w:styleId="xl38">
    <w:name w:val="xl38"/>
    <w:basedOn w:val="Standard"/>
    <w:pPr>
      <w:spacing w:before="100" w:beforeAutospacing="1" w:after="100" w:afterAutospacing="1"/>
      <w:textAlignment w:val="bottom"/>
    </w:pPr>
    <w:rPr>
      <w:rFonts w:eastAsia="Arial Unicode MS"/>
      <w:b/>
      <w:bCs/>
      <w:sz w:val="28"/>
      <w:szCs w:val="28"/>
    </w:rPr>
  </w:style>
  <w:style w:type="paragraph" w:customStyle="1" w:styleId="xl39">
    <w:name w:val="xl39"/>
    <w:basedOn w:val="Standard"/>
    <w:pPr>
      <w:spacing w:before="100" w:beforeAutospacing="1" w:after="100" w:afterAutospacing="1"/>
      <w:textAlignment w:val="bottom"/>
    </w:pPr>
    <w:rPr>
      <w:rFonts w:eastAsia="Arial Unicode MS"/>
      <w:sz w:val="28"/>
      <w:szCs w:val="28"/>
    </w:rPr>
  </w:style>
  <w:style w:type="paragraph" w:customStyle="1" w:styleId="xl40">
    <w:name w:val="xl40"/>
    <w:basedOn w:val="Standard"/>
    <w:pPr>
      <w:spacing w:before="100" w:beforeAutospacing="1" w:after="100" w:afterAutospacing="1"/>
      <w:textAlignment w:val="center"/>
    </w:pPr>
    <w:rPr>
      <w:rFonts w:eastAsia="Arial Unicode MS"/>
      <w:b/>
      <w:bCs/>
      <w:color w:val="FF0000"/>
    </w:rPr>
  </w:style>
  <w:style w:type="paragraph" w:customStyle="1" w:styleId="xl41">
    <w:name w:val="xl41"/>
    <w:basedOn w:val="Standard"/>
    <w:pPr>
      <w:spacing w:before="100" w:beforeAutospacing="1" w:after="100" w:afterAutospacing="1"/>
      <w:textAlignment w:val="bottom"/>
    </w:pPr>
    <w:rPr>
      <w:rFonts w:eastAsia="Arial Unicode MS"/>
      <w:b/>
      <w:bCs/>
    </w:rPr>
  </w:style>
  <w:style w:type="character" w:styleId="Zeilennummer">
    <w:name w:val="line number"/>
    <w:basedOn w:val="Absatz-Standardschriftart"/>
  </w:style>
  <w:style w:type="paragraph" w:customStyle="1" w:styleId="Version">
    <w:name w:val="Version"/>
    <w:basedOn w:val="Standard"/>
    <w:pPr>
      <w:widowControl w:val="0"/>
      <w:spacing w:before="60" w:after="120"/>
    </w:pPr>
    <w:rPr>
      <w:rFonts w:ascii="Verdana" w:hAnsi="Verdana" w:cs="Times New Roman"/>
      <w:sz w:val="36"/>
      <w:szCs w:val="20"/>
      <w:lang w:val="de-DE"/>
    </w:rPr>
  </w:style>
  <w:style w:type="paragraph" w:styleId="Untertitel">
    <w:name w:val="Subtitle"/>
    <w:basedOn w:val="Standard"/>
    <w:link w:val="UntertitelZchn"/>
    <w:uiPriority w:val="11"/>
    <w:qFormat/>
    <w:pPr>
      <w:spacing w:after="480"/>
      <w:jc w:val="center"/>
    </w:pPr>
    <w:rPr>
      <w:b/>
      <w:bCs/>
      <w:sz w:val="36"/>
    </w:rPr>
  </w:style>
  <w:style w:type="character" w:styleId="Kommentarzeichen">
    <w:name w:val="annotation reference"/>
    <w:basedOn w:val="Absatz-Standardschriftart"/>
    <w:uiPriority w:val="99"/>
    <w:semiHidden/>
    <w:rsid w:val="00111F78"/>
    <w:rPr>
      <w:sz w:val="16"/>
      <w:szCs w:val="16"/>
    </w:rPr>
  </w:style>
  <w:style w:type="paragraph" w:styleId="Kommentartext">
    <w:name w:val="annotation text"/>
    <w:basedOn w:val="Standard"/>
    <w:link w:val="KommentartextZchn"/>
    <w:uiPriority w:val="99"/>
    <w:rsid w:val="00111F78"/>
    <w:rPr>
      <w:sz w:val="20"/>
      <w:szCs w:val="20"/>
    </w:rPr>
  </w:style>
  <w:style w:type="paragraph" w:styleId="Sprechblasentext">
    <w:name w:val="Balloon Text"/>
    <w:basedOn w:val="Standard"/>
    <w:link w:val="SprechblasentextZchn"/>
    <w:uiPriority w:val="99"/>
    <w:semiHidden/>
    <w:rsid w:val="0057772E"/>
    <w:rPr>
      <w:rFonts w:ascii="Tahoma" w:hAnsi="Tahoma" w:cs="Tahoma"/>
      <w:sz w:val="16"/>
      <w:szCs w:val="16"/>
    </w:rPr>
  </w:style>
  <w:style w:type="paragraph" w:styleId="Beschriftung">
    <w:name w:val="caption"/>
    <w:basedOn w:val="Standard"/>
    <w:next w:val="Standard"/>
    <w:qFormat/>
    <w:rsid w:val="00240D96"/>
    <w:rPr>
      <w:b/>
      <w:bCs/>
      <w:sz w:val="20"/>
      <w:szCs w:val="20"/>
    </w:rPr>
  </w:style>
  <w:style w:type="paragraph" w:styleId="Kommentarthema">
    <w:name w:val="annotation subject"/>
    <w:basedOn w:val="Kommentartext"/>
    <w:next w:val="Kommentartext"/>
    <w:link w:val="KommentarthemaZchn"/>
    <w:uiPriority w:val="99"/>
    <w:semiHidden/>
    <w:rsid w:val="00D1423A"/>
    <w:rPr>
      <w:b/>
      <w:bCs/>
    </w:rPr>
  </w:style>
  <w:style w:type="character" w:customStyle="1" w:styleId="berschrift1Zchn">
    <w:name w:val="Überschrift 1 Zchn"/>
    <w:basedOn w:val="Absatz-Standardschriftart"/>
    <w:link w:val="berschrift1"/>
    <w:uiPriority w:val="9"/>
    <w:rsid w:val="0000091E"/>
    <w:rPr>
      <w:rFonts w:ascii="Arial" w:hAnsi="Arial" w:cs="Arial"/>
      <w:b/>
      <w:bCs/>
      <w:sz w:val="28"/>
      <w:szCs w:val="24"/>
      <w:lang w:val="de-AT"/>
    </w:rPr>
  </w:style>
  <w:style w:type="character" w:customStyle="1" w:styleId="berschrift2Zchn">
    <w:name w:val="Überschrift 2 Zchn"/>
    <w:basedOn w:val="Absatz-Standardschriftart"/>
    <w:link w:val="berschrift2"/>
    <w:uiPriority w:val="9"/>
    <w:rsid w:val="00761BE1"/>
    <w:rPr>
      <w:rFonts w:ascii="Arial" w:hAnsi="Arial" w:cs="Arial"/>
      <w:b/>
      <w:noProof/>
      <w:sz w:val="24"/>
    </w:rPr>
  </w:style>
  <w:style w:type="character" w:customStyle="1" w:styleId="SprechblasentextZchn">
    <w:name w:val="Sprechblasentext Zchn"/>
    <w:basedOn w:val="Absatz-Standardschriftart"/>
    <w:link w:val="Sprechblasentext"/>
    <w:uiPriority w:val="99"/>
    <w:semiHidden/>
    <w:rsid w:val="0000091E"/>
    <w:rPr>
      <w:rFonts w:ascii="Tahoma" w:hAnsi="Tahoma" w:cs="Tahoma"/>
      <w:sz w:val="16"/>
      <w:szCs w:val="16"/>
      <w:lang w:val="de-AT"/>
    </w:rPr>
  </w:style>
  <w:style w:type="character" w:customStyle="1" w:styleId="berschrift3Zchn">
    <w:name w:val="Überschrift 3 Zchn"/>
    <w:basedOn w:val="Absatz-Standardschriftart"/>
    <w:link w:val="berschrift3"/>
    <w:uiPriority w:val="9"/>
    <w:rsid w:val="0000091E"/>
    <w:rPr>
      <w:rFonts w:ascii="Arial" w:hAnsi="Arial" w:cs="Arial"/>
      <w:b/>
      <w:noProof/>
      <w:sz w:val="22"/>
    </w:rPr>
  </w:style>
  <w:style w:type="character" w:customStyle="1" w:styleId="TitelZchn">
    <w:name w:val="Titel Zchn"/>
    <w:basedOn w:val="Absatz-Standardschriftart"/>
    <w:link w:val="Titel"/>
    <w:uiPriority w:val="10"/>
    <w:rsid w:val="0000091E"/>
    <w:rPr>
      <w:rFonts w:ascii="Arial" w:hAnsi="Arial" w:cs="Arial"/>
      <w:b/>
      <w:bCs/>
      <w:sz w:val="22"/>
      <w:szCs w:val="24"/>
      <w:lang w:val="de-AT"/>
    </w:rPr>
  </w:style>
  <w:style w:type="character" w:customStyle="1" w:styleId="berschrift4Zchn">
    <w:name w:val="Überschrift 4 Zchn"/>
    <w:basedOn w:val="Absatz-Standardschriftart"/>
    <w:link w:val="berschrift4"/>
    <w:uiPriority w:val="9"/>
    <w:rsid w:val="0000091E"/>
    <w:rPr>
      <w:rFonts w:ascii="Arial" w:hAnsi="Arial" w:cs="Arial"/>
      <w:b/>
      <w:bCs/>
      <w:sz w:val="22"/>
      <w:szCs w:val="28"/>
      <w:lang w:val="de-AT"/>
    </w:rPr>
  </w:style>
  <w:style w:type="character" w:customStyle="1" w:styleId="UntertitelZchn">
    <w:name w:val="Untertitel Zchn"/>
    <w:basedOn w:val="Absatz-Standardschriftart"/>
    <w:link w:val="Untertitel"/>
    <w:uiPriority w:val="11"/>
    <w:rsid w:val="0000091E"/>
    <w:rPr>
      <w:rFonts w:ascii="Arial" w:hAnsi="Arial" w:cs="Arial"/>
      <w:b/>
      <w:bCs/>
      <w:sz w:val="36"/>
      <w:szCs w:val="24"/>
      <w:lang w:val="de-AT"/>
    </w:rPr>
  </w:style>
  <w:style w:type="character" w:customStyle="1" w:styleId="FunotentextZchn">
    <w:name w:val="Fußnotentext Zchn"/>
    <w:basedOn w:val="Absatz-Standardschriftart"/>
    <w:link w:val="Funotentext"/>
    <w:uiPriority w:val="99"/>
    <w:semiHidden/>
    <w:rsid w:val="0000091E"/>
    <w:rPr>
      <w:rFonts w:ascii="Arial" w:hAnsi="Arial" w:cs="Arial"/>
      <w:lang w:val="de-AT"/>
    </w:rPr>
  </w:style>
  <w:style w:type="paragraph" w:styleId="Listenabsatz">
    <w:name w:val="List Paragraph"/>
    <w:basedOn w:val="Standard"/>
    <w:uiPriority w:val="34"/>
    <w:qFormat/>
    <w:rsid w:val="005273EE"/>
    <w:pPr>
      <w:spacing w:after="200"/>
      <w:ind w:left="720"/>
      <w:contextualSpacing/>
    </w:pPr>
    <w:rPr>
      <w:rFonts w:eastAsiaTheme="minorHAnsi" w:cstheme="minorBidi"/>
      <w:szCs w:val="22"/>
      <w:lang w:val="de-DE" w:eastAsia="en-US"/>
    </w:rPr>
  </w:style>
  <w:style w:type="paragraph" w:styleId="Inhaltsverzeichnisberschrift">
    <w:name w:val="TOC Heading"/>
    <w:basedOn w:val="berschrift1"/>
    <w:next w:val="Standard"/>
    <w:uiPriority w:val="39"/>
    <w:unhideWhenUsed/>
    <w:qFormat/>
    <w:rsid w:val="0000091E"/>
    <w:pPr>
      <w:keepLines/>
      <w:spacing w:before="480" w:after="0" w:line="276" w:lineRule="auto"/>
      <w:outlineLvl w:val="9"/>
    </w:pPr>
    <w:rPr>
      <w:rFonts w:asciiTheme="majorHAnsi" w:eastAsiaTheme="majorEastAsia" w:hAnsiTheme="majorHAnsi" w:cstheme="majorBidi"/>
      <w:color w:val="365F91" w:themeColor="accent1" w:themeShade="BF"/>
      <w:szCs w:val="28"/>
      <w:lang w:val="de-DE"/>
    </w:rPr>
  </w:style>
  <w:style w:type="character" w:styleId="SchwacheHervorhebung">
    <w:name w:val="Subtle Emphasis"/>
    <w:basedOn w:val="Absatz-Standardschriftart"/>
    <w:uiPriority w:val="19"/>
    <w:qFormat/>
    <w:rsid w:val="0000091E"/>
    <w:rPr>
      <w:i/>
      <w:iCs/>
      <w:color w:val="808080" w:themeColor="text1" w:themeTint="7F"/>
    </w:rPr>
  </w:style>
  <w:style w:type="character" w:customStyle="1" w:styleId="KommentartextZchn">
    <w:name w:val="Kommentartext Zchn"/>
    <w:basedOn w:val="Absatz-Standardschriftart"/>
    <w:link w:val="Kommentartext"/>
    <w:uiPriority w:val="99"/>
    <w:rsid w:val="0000091E"/>
    <w:rPr>
      <w:rFonts w:ascii="Arial" w:hAnsi="Arial" w:cs="Arial"/>
      <w:lang w:val="de-AT"/>
    </w:rPr>
  </w:style>
  <w:style w:type="character" w:customStyle="1" w:styleId="KommentarthemaZchn">
    <w:name w:val="Kommentarthema Zchn"/>
    <w:basedOn w:val="KommentartextZchn"/>
    <w:link w:val="Kommentarthema"/>
    <w:uiPriority w:val="99"/>
    <w:semiHidden/>
    <w:rsid w:val="0000091E"/>
    <w:rPr>
      <w:rFonts w:ascii="Arial" w:hAnsi="Arial" w:cs="Arial"/>
      <w:b/>
      <w:bCs/>
      <w:lang w:val="de-AT"/>
    </w:rPr>
  </w:style>
  <w:style w:type="paragraph" w:styleId="StandardWeb">
    <w:name w:val="Normal (Web)"/>
    <w:basedOn w:val="Standard"/>
    <w:uiPriority w:val="99"/>
    <w:unhideWhenUsed/>
    <w:rsid w:val="0000091E"/>
    <w:pPr>
      <w:spacing w:line="222" w:lineRule="atLeast"/>
    </w:pPr>
    <w:rPr>
      <w:rFonts w:ascii="Times New Roman" w:hAnsi="Times New Roman" w:cs="Times New Roman"/>
      <w:color w:val="545454"/>
      <w:sz w:val="16"/>
      <w:szCs w:val="16"/>
      <w:lang w:val="de-DE"/>
    </w:rPr>
  </w:style>
  <w:style w:type="character" w:customStyle="1" w:styleId="KopfzeileZchn">
    <w:name w:val="Kopfzeile Zchn"/>
    <w:basedOn w:val="Absatz-Standardschriftart"/>
    <w:link w:val="Kopfzeile"/>
    <w:uiPriority w:val="99"/>
    <w:rsid w:val="0000091E"/>
    <w:rPr>
      <w:rFonts w:ascii="Arial" w:hAnsi="Arial" w:cs="Arial"/>
      <w:szCs w:val="24"/>
      <w:lang w:val="de-AT"/>
    </w:rPr>
  </w:style>
  <w:style w:type="character" w:customStyle="1" w:styleId="FuzeileZchn">
    <w:name w:val="Fußzeile Zchn"/>
    <w:basedOn w:val="Absatz-Standardschriftart"/>
    <w:link w:val="Fuzeile"/>
    <w:uiPriority w:val="99"/>
    <w:rsid w:val="0000091E"/>
    <w:rPr>
      <w:rFonts w:ascii="Arial" w:hAnsi="Arial" w:cs="Arial"/>
      <w:szCs w:val="24"/>
      <w:lang w:val="de-AT"/>
    </w:rPr>
  </w:style>
  <w:style w:type="character" w:customStyle="1" w:styleId="fliesstextnormal1">
    <w:name w:val="fliesstext_normal1"/>
    <w:basedOn w:val="Absatz-Standardschriftart"/>
    <w:rsid w:val="0000091E"/>
    <w:rPr>
      <w:rFonts w:ascii="Helvetica" w:hAnsi="Helvetica" w:hint="default"/>
      <w:color w:val="666666"/>
      <w:sz w:val="18"/>
      <w:szCs w:val="18"/>
    </w:rPr>
  </w:style>
  <w:style w:type="paragraph" w:styleId="berarbeitung">
    <w:name w:val="Revision"/>
    <w:hidden/>
    <w:uiPriority w:val="99"/>
    <w:semiHidden/>
    <w:rsid w:val="0000091E"/>
    <w:rPr>
      <w:rFonts w:asciiTheme="minorHAnsi" w:eastAsiaTheme="minorHAnsi" w:hAnsiTheme="minorHAnsi" w:cstheme="minorBidi"/>
      <w:sz w:val="22"/>
      <w:szCs w:val="22"/>
      <w:lang w:eastAsia="en-US"/>
    </w:rPr>
  </w:style>
  <w:style w:type="paragraph" w:customStyle="1" w:styleId="Default">
    <w:name w:val="Default"/>
    <w:rsid w:val="0000091E"/>
    <w:pPr>
      <w:autoSpaceDE w:val="0"/>
      <w:autoSpaceDN w:val="0"/>
      <w:adjustRightInd w:val="0"/>
    </w:pPr>
    <w:rPr>
      <w:rFonts w:eastAsiaTheme="minorHAnsi"/>
      <w:color w:val="000000"/>
      <w:sz w:val="24"/>
      <w:szCs w:val="24"/>
      <w:lang w:eastAsia="en-US"/>
    </w:rPr>
  </w:style>
  <w:style w:type="character" w:customStyle="1" w:styleId="993Fett">
    <w:name w:val="993_Fett"/>
    <w:rsid w:val="0000091E"/>
    <w:rPr>
      <w:b/>
    </w:rPr>
  </w:style>
  <w:style w:type="paragraph" w:customStyle="1" w:styleId="CM1">
    <w:name w:val="CM1"/>
    <w:basedOn w:val="Default"/>
    <w:next w:val="Default"/>
    <w:uiPriority w:val="99"/>
    <w:rsid w:val="0000091E"/>
    <w:rPr>
      <w:rFonts w:ascii="EUAlbertina" w:hAnsi="EUAlbertina" w:cstheme="minorBidi"/>
      <w:color w:val="auto"/>
    </w:rPr>
  </w:style>
  <w:style w:type="paragraph" w:customStyle="1" w:styleId="CM3">
    <w:name w:val="CM3"/>
    <w:basedOn w:val="Default"/>
    <w:next w:val="Default"/>
    <w:uiPriority w:val="99"/>
    <w:rsid w:val="0000091E"/>
    <w:rPr>
      <w:rFonts w:ascii="EUAlbertina" w:hAnsi="EUAlbertina" w:cstheme="minorBidi"/>
      <w:color w:val="auto"/>
    </w:rPr>
  </w:style>
  <w:style w:type="paragraph" w:customStyle="1" w:styleId="CM4">
    <w:name w:val="CM4"/>
    <w:basedOn w:val="Default"/>
    <w:next w:val="Default"/>
    <w:uiPriority w:val="99"/>
    <w:rsid w:val="0000091E"/>
    <w:rPr>
      <w:rFonts w:ascii="EUAlbertina" w:hAnsi="EUAlbertina" w:cstheme="minorBidi"/>
      <w:color w:val="auto"/>
    </w:rPr>
  </w:style>
  <w:style w:type="table" w:styleId="Tabellenraster">
    <w:name w:val="Table Grid"/>
    <w:basedOn w:val="NormaleTabelle"/>
    <w:uiPriority w:val="59"/>
    <w:rsid w:val="0000091E"/>
    <w:pPr>
      <w:spacing w:before="120"/>
    </w:pPr>
    <w:rPr>
      <w:rFonts w:ascii="Arial" w:hAnsi="Arial"/>
      <w:sz w:val="18"/>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120E97"/>
    <w:rPr>
      <w:b/>
      <w:bCs/>
    </w:rPr>
  </w:style>
  <w:style w:type="character" w:customStyle="1" w:styleId="Erwhnung1">
    <w:name w:val="Erwähnung1"/>
    <w:basedOn w:val="Absatz-Standardschriftart"/>
    <w:uiPriority w:val="99"/>
    <w:semiHidden/>
    <w:unhideWhenUsed/>
    <w:rsid w:val="00682F4B"/>
    <w:rPr>
      <w:color w:val="2B579A"/>
      <w:shd w:val="clear" w:color="auto" w:fill="E6E6E6"/>
    </w:rPr>
  </w:style>
  <w:style w:type="character" w:customStyle="1" w:styleId="NichtaufgelsteErwhnung1">
    <w:name w:val="Nicht aufgelöste Erwähnung1"/>
    <w:basedOn w:val="Absatz-Standardschriftart"/>
    <w:uiPriority w:val="99"/>
    <w:semiHidden/>
    <w:unhideWhenUsed/>
    <w:rsid w:val="00A33FD4"/>
    <w:rPr>
      <w:color w:val="808080"/>
      <w:shd w:val="clear" w:color="auto" w:fill="E6E6E6"/>
    </w:rPr>
  </w:style>
  <w:style w:type="character" w:customStyle="1" w:styleId="NichtaufgelsteErwhnung2">
    <w:name w:val="Nicht aufgelöste Erwähnung2"/>
    <w:basedOn w:val="Absatz-Standardschriftart"/>
    <w:uiPriority w:val="99"/>
    <w:semiHidden/>
    <w:unhideWhenUsed/>
    <w:rsid w:val="00837191"/>
    <w:rPr>
      <w:color w:val="808080"/>
      <w:shd w:val="clear" w:color="auto" w:fill="E6E6E6"/>
    </w:rPr>
  </w:style>
  <w:style w:type="character" w:styleId="NichtaufgelsteErwhnung">
    <w:name w:val="Unresolved Mention"/>
    <w:basedOn w:val="Absatz-Standardschriftart"/>
    <w:uiPriority w:val="99"/>
    <w:semiHidden/>
    <w:unhideWhenUsed/>
    <w:rsid w:val="003B64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985881">
      <w:bodyDiv w:val="1"/>
      <w:marLeft w:val="0"/>
      <w:marRight w:val="0"/>
      <w:marTop w:val="0"/>
      <w:marBottom w:val="0"/>
      <w:divBdr>
        <w:top w:val="none" w:sz="0" w:space="0" w:color="auto"/>
        <w:left w:val="none" w:sz="0" w:space="0" w:color="auto"/>
        <w:bottom w:val="none" w:sz="0" w:space="0" w:color="auto"/>
        <w:right w:val="none" w:sz="0" w:space="0" w:color="auto"/>
      </w:divBdr>
    </w:div>
    <w:div w:id="400445068">
      <w:bodyDiv w:val="1"/>
      <w:marLeft w:val="0"/>
      <w:marRight w:val="0"/>
      <w:marTop w:val="0"/>
      <w:marBottom w:val="0"/>
      <w:divBdr>
        <w:top w:val="none" w:sz="0" w:space="0" w:color="auto"/>
        <w:left w:val="none" w:sz="0" w:space="0" w:color="auto"/>
        <w:bottom w:val="none" w:sz="0" w:space="0" w:color="auto"/>
        <w:right w:val="none" w:sz="0" w:space="0" w:color="auto"/>
      </w:divBdr>
    </w:div>
    <w:div w:id="523903918">
      <w:bodyDiv w:val="1"/>
      <w:marLeft w:val="0"/>
      <w:marRight w:val="0"/>
      <w:marTop w:val="0"/>
      <w:marBottom w:val="0"/>
      <w:divBdr>
        <w:top w:val="none" w:sz="0" w:space="0" w:color="auto"/>
        <w:left w:val="none" w:sz="0" w:space="0" w:color="auto"/>
        <w:bottom w:val="none" w:sz="0" w:space="0" w:color="auto"/>
        <w:right w:val="none" w:sz="0" w:space="0" w:color="auto"/>
      </w:divBdr>
      <w:divsChild>
        <w:div w:id="808209880">
          <w:marLeft w:val="0"/>
          <w:marRight w:val="0"/>
          <w:marTop w:val="0"/>
          <w:marBottom w:val="0"/>
          <w:divBdr>
            <w:top w:val="none" w:sz="0" w:space="0" w:color="auto"/>
            <w:left w:val="none" w:sz="0" w:space="0" w:color="auto"/>
            <w:bottom w:val="none" w:sz="0" w:space="0" w:color="auto"/>
            <w:right w:val="none" w:sz="0" w:space="0" w:color="auto"/>
          </w:divBdr>
        </w:div>
        <w:div w:id="2031494231">
          <w:marLeft w:val="0"/>
          <w:marRight w:val="0"/>
          <w:marTop w:val="0"/>
          <w:marBottom w:val="0"/>
          <w:divBdr>
            <w:top w:val="none" w:sz="0" w:space="0" w:color="auto"/>
            <w:left w:val="none" w:sz="0" w:space="0" w:color="auto"/>
            <w:bottom w:val="none" w:sz="0" w:space="0" w:color="auto"/>
            <w:right w:val="none" w:sz="0" w:space="0" w:color="auto"/>
          </w:divBdr>
        </w:div>
      </w:divsChild>
    </w:div>
    <w:div w:id="534659107">
      <w:bodyDiv w:val="1"/>
      <w:marLeft w:val="0"/>
      <w:marRight w:val="0"/>
      <w:marTop w:val="0"/>
      <w:marBottom w:val="0"/>
      <w:divBdr>
        <w:top w:val="none" w:sz="0" w:space="0" w:color="auto"/>
        <w:left w:val="none" w:sz="0" w:space="0" w:color="auto"/>
        <w:bottom w:val="none" w:sz="0" w:space="0" w:color="auto"/>
        <w:right w:val="none" w:sz="0" w:space="0" w:color="auto"/>
      </w:divBdr>
    </w:div>
    <w:div w:id="919944570">
      <w:bodyDiv w:val="1"/>
      <w:marLeft w:val="0"/>
      <w:marRight w:val="0"/>
      <w:marTop w:val="0"/>
      <w:marBottom w:val="0"/>
      <w:divBdr>
        <w:top w:val="none" w:sz="0" w:space="0" w:color="auto"/>
        <w:left w:val="none" w:sz="0" w:space="0" w:color="auto"/>
        <w:bottom w:val="none" w:sz="0" w:space="0" w:color="auto"/>
        <w:right w:val="none" w:sz="0" w:space="0" w:color="auto"/>
      </w:divBdr>
    </w:div>
    <w:div w:id="1203639955">
      <w:bodyDiv w:val="1"/>
      <w:marLeft w:val="0"/>
      <w:marRight w:val="0"/>
      <w:marTop w:val="0"/>
      <w:marBottom w:val="0"/>
      <w:divBdr>
        <w:top w:val="none" w:sz="0" w:space="0" w:color="auto"/>
        <w:left w:val="none" w:sz="0" w:space="0" w:color="auto"/>
        <w:bottom w:val="none" w:sz="0" w:space="0" w:color="auto"/>
        <w:right w:val="none" w:sz="0" w:space="0" w:color="auto"/>
      </w:divBdr>
      <w:divsChild>
        <w:div w:id="1439257858">
          <w:marLeft w:val="0"/>
          <w:marRight w:val="0"/>
          <w:marTop w:val="0"/>
          <w:marBottom w:val="0"/>
          <w:divBdr>
            <w:top w:val="none" w:sz="0" w:space="0" w:color="auto"/>
            <w:left w:val="none" w:sz="0" w:space="0" w:color="auto"/>
            <w:bottom w:val="none" w:sz="0" w:space="0" w:color="auto"/>
            <w:right w:val="none" w:sz="0" w:space="0" w:color="auto"/>
          </w:divBdr>
        </w:div>
      </w:divsChild>
    </w:div>
    <w:div w:id="1256671655">
      <w:bodyDiv w:val="1"/>
      <w:marLeft w:val="0"/>
      <w:marRight w:val="0"/>
      <w:marTop w:val="0"/>
      <w:marBottom w:val="0"/>
      <w:divBdr>
        <w:top w:val="none" w:sz="0" w:space="0" w:color="auto"/>
        <w:left w:val="none" w:sz="0" w:space="0" w:color="auto"/>
        <w:bottom w:val="none" w:sz="0" w:space="0" w:color="auto"/>
        <w:right w:val="none" w:sz="0" w:space="0" w:color="auto"/>
      </w:divBdr>
    </w:div>
    <w:div w:id="1400975503">
      <w:bodyDiv w:val="1"/>
      <w:marLeft w:val="0"/>
      <w:marRight w:val="0"/>
      <w:marTop w:val="0"/>
      <w:marBottom w:val="0"/>
      <w:divBdr>
        <w:top w:val="none" w:sz="0" w:space="0" w:color="auto"/>
        <w:left w:val="none" w:sz="0" w:space="0" w:color="auto"/>
        <w:bottom w:val="none" w:sz="0" w:space="0" w:color="auto"/>
        <w:right w:val="none" w:sz="0" w:space="0" w:color="auto"/>
      </w:divBdr>
      <w:divsChild>
        <w:div w:id="50737628">
          <w:marLeft w:val="0"/>
          <w:marRight w:val="0"/>
          <w:marTop w:val="0"/>
          <w:marBottom w:val="0"/>
          <w:divBdr>
            <w:top w:val="none" w:sz="0" w:space="0" w:color="auto"/>
            <w:left w:val="none" w:sz="0" w:space="0" w:color="auto"/>
            <w:bottom w:val="none" w:sz="0" w:space="0" w:color="auto"/>
            <w:right w:val="none" w:sz="0" w:space="0" w:color="auto"/>
          </w:divBdr>
        </w:div>
      </w:divsChild>
    </w:div>
    <w:div w:id="1465613340">
      <w:bodyDiv w:val="1"/>
      <w:marLeft w:val="0"/>
      <w:marRight w:val="0"/>
      <w:marTop w:val="0"/>
      <w:marBottom w:val="0"/>
      <w:divBdr>
        <w:top w:val="none" w:sz="0" w:space="0" w:color="auto"/>
        <w:left w:val="none" w:sz="0" w:space="0" w:color="auto"/>
        <w:bottom w:val="none" w:sz="0" w:space="0" w:color="auto"/>
        <w:right w:val="none" w:sz="0" w:space="0" w:color="auto"/>
      </w:divBdr>
    </w:div>
    <w:div w:id="1506047326">
      <w:bodyDiv w:val="1"/>
      <w:marLeft w:val="0"/>
      <w:marRight w:val="0"/>
      <w:marTop w:val="0"/>
      <w:marBottom w:val="0"/>
      <w:divBdr>
        <w:top w:val="none" w:sz="0" w:space="0" w:color="auto"/>
        <w:left w:val="none" w:sz="0" w:space="0" w:color="auto"/>
        <w:bottom w:val="none" w:sz="0" w:space="0" w:color="auto"/>
        <w:right w:val="none" w:sz="0" w:space="0" w:color="auto"/>
      </w:divBdr>
      <w:divsChild>
        <w:div w:id="1177109284">
          <w:marLeft w:val="0"/>
          <w:marRight w:val="0"/>
          <w:marTop w:val="75"/>
          <w:marBottom w:val="75"/>
          <w:divBdr>
            <w:top w:val="none" w:sz="0" w:space="0" w:color="auto"/>
            <w:left w:val="none" w:sz="0" w:space="0" w:color="auto"/>
            <w:bottom w:val="none" w:sz="0" w:space="0" w:color="auto"/>
            <w:right w:val="none" w:sz="0" w:space="0" w:color="auto"/>
          </w:divBdr>
          <w:divsChild>
            <w:div w:id="1744404471">
              <w:marLeft w:val="0"/>
              <w:marRight w:val="0"/>
              <w:marTop w:val="372"/>
              <w:marBottom w:val="0"/>
              <w:divBdr>
                <w:top w:val="none" w:sz="0" w:space="0" w:color="auto"/>
                <w:left w:val="none" w:sz="0" w:space="0" w:color="auto"/>
                <w:bottom w:val="none" w:sz="0" w:space="0" w:color="auto"/>
                <w:right w:val="none" w:sz="0" w:space="0" w:color="auto"/>
              </w:divBdr>
              <w:divsChild>
                <w:div w:id="783036822">
                  <w:marLeft w:val="0"/>
                  <w:marRight w:val="0"/>
                  <w:marTop w:val="120"/>
                  <w:marBottom w:val="0"/>
                  <w:divBdr>
                    <w:top w:val="single" w:sz="6" w:space="6" w:color="9D9C9C"/>
                    <w:left w:val="single" w:sz="6" w:space="6" w:color="9D9C9C"/>
                    <w:bottom w:val="single" w:sz="6" w:space="6" w:color="9D9C9C"/>
                    <w:right w:val="single" w:sz="6" w:space="6" w:color="9D9C9C"/>
                  </w:divBdr>
                  <w:divsChild>
                    <w:div w:id="1013261099">
                      <w:marLeft w:val="0"/>
                      <w:marRight w:val="0"/>
                      <w:marTop w:val="0"/>
                      <w:marBottom w:val="0"/>
                      <w:divBdr>
                        <w:top w:val="none" w:sz="0" w:space="0" w:color="auto"/>
                        <w:left w:val="none" w:sz="0" w:space="0" w:color="auto"/>
                        <w:bottom w:val="none" w:sz="0" w:space="0" w:color="auto"/>
                        <w:right w:val="none" w:sz="0" w:space="0" w:color="auto"/>
                      </w:divBdr>
                      <w:divsChild>
                        <w:div w:id="458304123">
                          <w:marLeft w:val="0"/>
                          <w:marRight w:val="0"/>
                          <w:marTop w:val="240"/>
                          <w:marBottom w:val="0"/>
                          <w:divBdr>
                            <w:top w:val="none" w:sz="0" w:space="0" w:color="auto"/>
                            <w:left w:val="none" w:sz="0" w:space="0" w:color="auto"/>
                            <w:bottom w:val="none" w:sz="0" w:space="0" w:color="auto"/>
                            <w:right w:val="none" w:sz="0" w:space="0" w:color="auto"/>
                          </w:divBdr>
                          <w:divsChild>
                            <w:div w:id="629941865">
                              <w:marLeft w:val="0"/>
                              <w:marRight w:val="0"/>
                              <w:marTop w:val="0"/>
                              <w:marBottom w:val="0"/>
                              <w:divBdr>
                                <w:top w:val="none" w:sz="0" w:space="0" w:color="auto"/>
                                <w:left w:val="none" w:sz="0" w:space="0" w:color="auto"/>
                                <w:bottom w:val="none" w:sz="0" w:space="0" w:color="auto"/>
                                <w:right w:val="none" w:sz="0" w:space="0" w:color="auto"/>
                              </w:divBdr>
                              <w:divsChild>
                                <w:div w:id="14165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421085">
      <w:bodyDiv w:val="1"/>
      <w:marLeft w:val="0"/>
      <w:marRight w:val="0"/>
      <w:marTop w:val="0"/>
      <w:marBottom w:val="0"/>
      <w:divBdr>
        <w:top w:val="none" w:sz="0" w:space="0" w:color="auto"/>
        <w:left w:val="none" w:sz="0" w:space="0" w:color="auto"/>
        <w:bottom w:val="none" w:sz="0" w:space="0" w:color="auto"/>
        <w:right w:val="none" w:sz="0" w:space="0" w:color="auto"/>
      </w:divBdr>
    </w:div>
    <w:div w:id="1662152603">
      <w:bodyDiv w:val="1"/>
      <w:marLeft w:val="0"/>
      <w:marRight w:val="0"/>
      <w:marTop w:val="0"/>
      <w:marBottom w:val="0"/>
      <w:divBdr>
        <w:top w:val="none" w:sz="0" w:space="0" w:color="auto"/>
        <w:left w:val="none" w:sz="0" w:space="0" w:color="auto"/>
        <w:bottom w:val="none" w:sz="0" w:space="0" w:color="auto"/>
        <w:right w:val="none" w:sz="0" w:space="0" w:color="auto"/>
      </w:divBdr>
    </w:div>
    <w:div w:id="1677265319">
      <w:bodyDiv w:val="1"/>
      <w:marLeft w:val="0"/>
      <w:marRight w:val="0"/>
      <w:marTop w:val="0"/>
      <w:marBottom w:val="0"/>
      <w:divBdr>
        <w:top w:val="none" w:sz="0" w:space="0" w:color="auto"/>
        <w:left w:val="none" w:sz="0" w:space="0" w:color="auto"/>
        <w:bottom w:val="none" w:sz="0" w:space="0" w:color="auto"/>
        <w:right w:val="none" w:sz="0" w:space="0" w:color="auto"/>
      </w:divBdr>
      <w:divsChild>
        <w:div w:id="1956980755">
          <w:marLeft w:val="0"/>
          <w:marRight w:val="0"/>
          <w:marTop w:val="100"/>
          <w:marBottom w:val="750"/>
          <w:divBdr>
            <w:top w:val="none" w:sz="0" w:space="0" w:color="auto"/>
            <w:left w:val="none" w:sz="0" w:space="0" w:color="auto"/>
            <w:bottom w:val="none" w:sz="0" w:space="0" w:color="auto"/>
            <w:right w:val="none" w:sz="0" w:space="0" w:color="auto"/>
          </w:divBdr>
          <w:divsChild>
            <w:div w:id="461733148">
              <w:marLeft w:val="0"/>
              <w:marRight w:val="0"/>
              <w:marTop w:val="0"/>
              <w:marBottom w:val="0"/>
              <w:divBdr>
                <w:top w:val="none" w:sz="0" w:space="0" w:color="auto"/>
                <w:left w:val="none" w:sz="0" w:space="0" w:color="auto"/>
                <w:bottom w:val="none" w:sz="0" w:space="0" w:color="auto"/>
                <w:right w:val="none" w:sz="0" w:space="0" w:color="auto"/>
              </w:divBdr>
              <w:divsChild>
                <w:div w:id="4130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79440">
      <w:bodyDiv w:val="1"/>
      <w:marLeft w:val="0"/>
      <w:marRight w:val="0"/>
      <w:marTop w:val="0"/>
      <w:marBottom w:val="0"/>
      <w:divBdr>
        <w:top w:val="none" w:sz="0" w:space="0" w:color="auto"/>
        <w:left w:val="none" w:sz="0" w:space="0" w:color="auto"/>
        <w:bottom w:val="none" w:sz="0" w:space="0" w:color="auto"/>
        <w:right w:val="none" w:sz="0" w:space="0" w:color="auto"/>
      </w:divBdr>
    </w:div>
    <w:div w:id="1711690161">
      <w:bodyDiv w:val="1"/>
      <w:marLeft w:val="0"/>
      <w:marRight w:val="0"/>
      <w:marTop w:val="0"/>
      <w:marBottom w:val="0"/>
      <w:divBdr>
        <w:top w:val="none" w:sz="0" w:space="0" w:color="auto"/>
        <w:left w:val="none" w:sz="0" w:space="0" w:color="auto"/>
        <w:bottom w:val="none" w:sz="0" w:space="0" w:color="auto"/>
        <w:right w:val="none" w:sz="0" w:space="0" w:color="auto"/>
      </w:divBdr>
    </w:div>
    <w:div w:id="1762412101">
      <w:bodyDiv w:val="1"/>
      <w:marLeft w:val="0"/>
      <w:marRight w:val="0"/>
      <w:marTop w:val="0"/>
      <w:marBottom w:val="0"/>
      <w:divBdr>
        <w:top w:val="none" w:sz="0" w:space="0" w:color="auto"/>
        <w:left w:val="none" w:sz="0" w:space="0" w:color="auto"/>
        <w:bottom w:val="none" w:sz="0" w:space="0" w:color="auto"/>
        <w:right w:val="none" w:sz="0" w:space="0" w:color="auto"/>
      </w:divBdr>
    </w:div>
    <w:div w:id="1782070703">
      <w:bodyDiv w:val="1"/>
      <w:marLeft w:val="0"/>
      <w:marRight w:val="0"/>
      <w:marTop w:val="0"/>
      <w:marBottom w:val="0"/>
      <w:divBdr>
        <w:top w:val="none" w:sz="0" w:space="0" w:color="auto"/>
        <w:left w:val="none" w:sz="0" w:space="0" w:color="auto"/>
        <w:bottom w:val="none" w:sz="0" w:space="0" w:color="auto"/>
        <w:right w:val="none" w:sz="0" w:space="0" w:color="auto"/>
      </w:divBdr>
    </w:div>
    <w:div w:id="1818062526">
      <w:bodyDiv w:val="1"/>
      <w:marLeft w:val="0"/>
      <w:marRight w:val="0"/>
      <w:marTop w:val="0"/>
      <w:marBottom w:val="0"/>
      <w:divBdr>
        <w:top w:val="none" w:sz="0" w:space="0" w:color="auto"/>
        <w:left w:val="none" w:sz="0" w:space="0" w:color="auto"/>
        <w:bottom w:val="none" w:sz="0" w:space="0" w:color="auto"/>
        <w:right w:val="none" w:sz="0" w:space="0" w:color="auto"/>
      </w:divBdr>
    </w:div>
    <w:div w:id="205141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control.at/de/recht/bundesrecht/strom/verordnungen" TargetMode="External"/><Relationship Id="rId21" Type="http://schemas.openxmlformats.org/officeDocument/2006/relationships/hyperlink" Target="https://www.apcs.at/de/registrierung/bilanzgruppenverantwortlicher" TargetMode="External"/><Relationship Id="rId42" Type="http://schemas.openxmlformats.org/officeDocument/2006/relationships/hyperlink" Target="https://www.entsoe.eu/" TargetMode="External"/><Relationship Id="rId63" Type="http://schemas.openxmlformats.org/officeDocument/2006/relationships/hyperlink" Target="https://www.e-control.at/de/recht/bundesrecht/strom/verordnungen" TargetMode="External"/><Relationship Id="rId84" Type="http://schemas.openxmlformats.org/officeDocument/2006/relationships/hyperlink" Target="http://www.ebutilities.at" TargetMode="External"/><Relationship Id="rId138" Type="http://schemas.openxmlformats.org/officeDocument/2006/relationships/hyperlink" Target="https://www.ris.bka.gv.at/GeltendeFassung.wxe?Abfrage=Bundesnormen&amp;Gesetzesnummer=20009764&amp;FassungVom=2021-12-31" TargetMode="External"/><Relationship Id="rId159" Type="http://schemas.openxmlformats.org/officeDocument/2006/relationships/hyperlink" Target="https://www.ris.bka.gv.at/GeltendeFassung.wxe?Abfrage=Bundesnormen&amp;Gesetzesnummer=20007045" TargetMode="External"/><Relationship Id="rId170" Type="http://schemas.openxmlformats.org/officeDocument/2006/relationships/hyperlink" Target="https://eur-lex.europa.eu/legal-content/DE/TXT/?qid=1576081269504&amp;uri=CELEX:32018L2001" TargetMode="External"/><Relationship Id="rId107" Type="http://schemas.openxmlformats.org/officeDocument/2006/relationships/hyperlink" Target="https://www.e-control.at/recht/allgemeine-bedingungen/allgemeine-bedingungen-strom" TargetMode="External"/><Relationship Id="rId11" Type="http://schemas.openxmlformats.org/officeDocument/2006/relationships/footer" Target="footer2.xml"/><Relationship Id="rId32" Type="http://schemas.openxmlformats.org/officeDocument/2006/relationships/hyperlink" Target="http://www.e-control.at/de/recht/Landesrecht" TargetMode="External"/><Relationship Id="rId53" Type="http://schemas.openxmlformats.org/officeDocument/2006/relationships/hyperlink" Target="https://www.ris.bka.gv.at/GeltendeFassung.wxe?Abfrage=Bundesnormen&amp;Gesetzesnummer=20007045" TargetMode="External"/><Relationship Id="rId74" Type="http://schemas.openxmlformats.org/officeDocument/2006/relationships/hyperlink" Target="mailto:stromnachweis@e-control.at" TargetMode="External"/><Relationship Id="rId128" Type="http://schemas.openxmlformats.org/officeDocument/2006/relationships/hyperlink" Target="https://www.ris.bka.gv.at/GeltendeFassung.wxe?Abfrage=Bundesnormen&amp;Gesetzesnummer=20007045" TargetMode="External"/><Relationship Id="rId149" Type="http://schemas.openxmlformats.org/officeDocument/2006/relationships/hyperlink" Target="https://www.acer-remit.eu/portal/list-inside-platforms" TargetMode="External"/><Relationship Id="rId5" Type="http://schemas.openxmlformats.org/officeDocument/2006/relationships/webSettings" Target="webSettings.xml"/><Relationship Id="rId95" Type="http://schemas.openxmlformats.org/officeDocument/2006/relationships/hyperlink" Target="http://www.e-control.at/de/recht/marktregeln/sonstige-marktregeln-strom" TargetMode="External"/><Relationship Id="rId160" Type="http://schemas.openxmlformats.org/officeDocument/2006/relationships/hyperlink" Target="http://www.e-control.at/de/recht/Landesrecht" TargetMode="External"/><Relationship Id="rId181" Type="http://schemas.openxmlformats.org/officeDocument/2006/relationships/hyperlink" Target="https://www.e-control.at/de/recht/bundesrecht/strom/verordnungen" TargetMode="External"/><Relationship Id="rId22" Type="http://schemas.openxmlformats.org/officeDocument/2006/relationships/hyperlink" Target="https://www.apcs.at/de/regelwerk/marktregeln/aktuelle_version" TargetMode="External"/><Relationship Id="rId43" Type="http://schemas.openxmlformats.org/officeDocument/2006/relationships/hyperlink" Target="http://eur-lex.europa.eu/legal-content/DE/TXT/PDF/?uri=CELEX:32011R1227&amp;from=DE" TargetMode="External"/><Relationship Id="rId64" Type="http://schemas.openxmlformats.org/officeDocument/2006/relationships/hyperlink" Target="https://www.apcs.at/de/regelwerk/marktregeln/aktuelle_version" TargetMode="External"/><Relationship Id="rId118" Type="http://schemas.openxmlformats.org/officeDocument/2006/relationships/hyperlink" Target="https://www.e-control.at/konsumenten/rechnung/rechnungsgestaltung-rechnungslegung" TargetMode="External"/><Relationship Id="rId139" Type="http://schemas.openxmlformats.org/officeDocument/2006/relationships/hyperlink" Target="http://www.e-control.at/de/marktteilnehmer/oeko-energie/oekostrom-foerdersystem" TargetMode="External"/><Relationship Id="rId85" Type="http://schemas.openxmlformats.org/officeDocument/2006/relationships/hyperlink" Target="http://www.e-control.at/de/recht/marktregeln/sonstige-marktregeln-strom" TargetMode="External"/><Relationship Id="rId150" Type="http://schemas.openxmlformats.org/officeDocument/2006/relationships/hyperlink" Target="https://www.e-control.at/remit" TargetMode="External"/><Relationship Id="rId171" Type="http://schemas.openxmlformats.org/officeDocument/2006/relationships/hyperlink" Target="https://www.ris.bka.gv.at/GeltendeFassung.wxe?Abfrage=Bundesnormen&amp;Gesetzesnummer=20007386" TargetMode="External"/><Relationship Id="rId12" Type="http://schemas.openxmlformats.org/officeDocument/2006/relationships/hyperlink" Target="https://www.ris.bka.gv.at/GeltendeFassung.wxe?Abfrage=Bundesnormen&amp;Gesetzesnummer=20007045" TargetMode="External"/><Relationship Id="rId33" Type="http://schemas.openxmlformats.org/officeDocument/2006/relationships/hyperlink" Target="https://eur-lex.europa.eu/legal-content/DE/TXT/?qid=1575558443106&amp;uri=CELEX:32019R0943" TargetMode="External"/><Relationship Id="rId108" Type="http://schemas.openxmlformats.org/officeDocument/2006/relationships/hyperlink" Target="http://www.e-control.at/de/marktteilnehmer/oeko-energie/oekostrom-foerdersystem" TargetMode="External"/><Relationship Id="rId129" Type="http://schemas.openxmlformats.org/officeDocument/2006/relationships/hyperlink" Target="https://www.ris.bka.gv.at/GeltendeFassung.wxe?Abfrage=Bundesnormen&amp;Gesetzesnummer=20007045" TargetMode="External"/><Relationship Id="rId54" Type="http://schemas.openxmlformats.org/officeDocument/2006/relationships/hyperlink" Target="http://www.e-control.at/de/recht/Landesrecht" TargetMode="External"/><Relationship Id="rId75" Type="http://schemas.openxmlformats.org/officeDocument/2006/relationships/hyperlink" Target="https://www.e-control.at/stromnachweis/download/handbucher" TargetMode="External"/><Relationship Id="rId96" Type="http://schemas.openxmlformats.org/officeDocument/2006/relationships/hyperlink" Target="https://www.e-control.at/marktteilnehmer/strom/marktregeln/allgemeine-bedingungen/vnb" TargetMode="External"/><Relationship Id="rId140" Type="http://schemas.openxmlformats.org/officeDocument/2006/relationships/hyperlink" Target="https://www.e-control.at/marktteilnehmer/strom/strommarkt/preise/steuern-und-abgaben/gebrauchsabgabe" TargetMode="External"/><Relationship Id="rId161" Type="http://schemas.openxmlformats.org/officeDocument/2006/relationships/hyperlink" Target="https://www.ris.bka.gv.at/GeltendeFassung.wxe?Abfrage=Bundesnormen&amp;Gesetzesnummer=20007046" TargetMode="External"/><Relationship Id="rId182" Type="http://schemas.openxmlformats.org/officeDocument/2006/relationships/hyperlink" Target="https://www.e-control.at/de/recht/bundesrecht/strom/verordnungen" TargetMode="External"/><Relationship Id="rId6" Type="http://schemas.openxmlformats.org/officeDocument/2006/relationships/footnotes" Target="footnotes.xml"/><Relationship Id="rId23" Type="http://schemas.openxmlformats.org/officeDocument/2006/relationships/hyperlink" Target="mailto:office@apcs.at" TargetMode="External"/><Relationship Id="rId119" Type="http://schemas.openxmlformats.org/officeDocument/2006/relationships/hyperlink" Target="https://www.e-control.at/konsumenten/rechnung/rechnungsgestaltung-rechnungslegung" TargetMode="External"/><Relationship Id="rId44" Type="http://schemas.openxmlformats.org/officeDocument/2006/relationships/hyperlink" Target="https://eur-lex.europa.eu/legal-content/DE/TXT/?uri=CELEX:32014R1348" TargetMode="External"/><Relationship Id="rId65" Type="http://schemas.openxmlformats.org/officeDocument/2006/relationships/hyperlink" Target="https://www.energylink.at/de/registrierung" TargetMode="External"/><Relationship Id="rId86" Type="http://schemas.openxmlformats.org/officeDocument/2006/relationships/hyperlink" Target="http://www.ebutilities.at" TargetMode="External"/><Relationship Id="rId130" Type="http://schemas.openxmlformats.org/officeDocument/2006/relationships/hyperlink" Target="https://www.e-control.at/marktteilnehmer/oeko-energie/stromkennzeichnung/jaehrliche-ueberpruefung-der-stromkennzeichnung" TargetMode="External"/><Relationship Id="rId151" Type="http://schemas.openxmlformats.org/officeDocument/2006/relationships/hyperlink" Target="mailto:remit@e-control.at" TargetMode="External"/><Relationship Id="rId172" Type="http://schemas.openxmlformats.org/officeDocument/2006/relationships/hyperlink" Target="http://www.ris.bka.gv.at/GeltendeFassung.wxe?Abfrage=Bundesnormen&amp;Gesetzesnummer=20008914&amp;FassungVom=2014-10-08" TargetMode="External"/><Relationship Id="rId13" Type="http://schemas.openxmlformats.org/officeDocument/2006/relationships/hyperlink" Target="http://www.e-control.at/de/recht/Landesrecht" TargetMode="External"/><Relationship Id="rId18" Type="http://schemas.openxmlformats.org/officeDocument/2006/relationships/hyperlink" Target="https://www.ris.bka.gv.at/GeltendeFassung.wxe?Abfrage=Bundesnormen&amp;Gesetzesnummer=20007045" TargetMode="External"/><Relationship Id="rId39" Type="http://schemas.openxmlformats.org/officeDocument/2006/relationships/hyperlink" Target="https://www.jao.eu/main" TargetMode="External"/><Relationship Id="rId109" Type="http://schemas.openxmlformats.org/officeDocument/2006/relationships/hyperlink" Target="mailto:kundenservice@oem-ag.at" TargetMode="External"/><Relationship Id="rId34" Type="http://schemas.openxmlformats.org/officeDocument/2006/relationships/hyperlink" Target="https://eur-lex.europa.eu/legal-content/DE/TXT/?uri=CELEX%3A32015R1222" TargetMode="External"/><Relationship Id="rId50" Type="http://schemas.openxmlformats.org/officeDocument/2006/relationships/hyperlink" Target="https://www.e-control.at/remit/remit-registrierung" TargetMode="External"/><Relationship Id="rId55" Type="http://schemas.openxmlformats.org/officeDocument/2006/relationships/hyperlink" Target="https://www.ris.bka.gv.at/GeltendeFassung.wxe?Abfrage=Bundesnormen&amp;Gesetzesnummer=20007046" TargetMode="External"/><Relationship Id="rId76" Type="http://schemas.openxmlformats.org/officeDocument/2006/relationships/hyperlink" Target="mailto:stromnachweis@e-control.at" TargetMode="External"/><Relationship Id="rId97" Type="http://schemas.openxmlformats.org/officeDocument/2006/relationships/hyperlink" Target="http://www.ebutilities.at" TargetMode="External"/><Relationship Id="rId104" Type="http://schemas.openxmlformats.org/officeDocument/2006/relationships/hyperlink" Target="https://meine.e-control.org/verteilerlisten/" TargetMode="External"/><Relationship Id="rId120" Type="http://schemas.openxmlformats.org/officeDocument/2006/relationships/hyperlink" Target="https://www.ris.bka.gv.at/GeltendeFassung.wxe?Abfrage=Bundesnormen&amp;Gesetzesnummer=20007045" TargetMode="External"/><Relationship Id="rId125" Type="http://schemas.openxmlformats.org/officeDocument/2006/relationships/hyperlink" Target="https://eur-lex.europa.eu/legal-content/DE/TXT/?qid=1575557341420&amp;uri=CELEX:32019L0944" TargetMode="External"/><Relationship Id="rId141" Type="http://schemas.openxmlformats.org/officeDocument/2006/relationships/hyperlink" Target="https://www.e-control.at/recht/bundesrecht/strom/verordnungen" TargetMode="External"/><Relationship Id="rId146" Type="http://schemas.openxmlformats.org/officeDocument/2006/relationships/hyperlink" Target="https://www.ris.bka.gv.at/GeltendeFassung.wxe?Abfrage=Bundesnormen&amp;Gesetzesnummer=20007045" TargetMode="External"/><Relationship Id="rId167" Type="http://schemas.openxmlformats.org/officeDocument/2006/relationships/hyperlink" Target="https://documents.acer-remit.eu/" TargetMode="External"/><Relationship Id="rId18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ris.bka.gv.at/GeltendeFassung.wxe?Abfrage=Bundesnormen&amp;Gesetzesnummer=20007045" TargetMode="External"/><Relationship Id="rId92" Type="http://schemas.openxmlformats.org/officeDocument/2006/relationships/hyperlink" Target="https://ebutilities.at/utilities/marktpartner/registration/index.php" TargetMode="External"/><Relationship Id="rId162" Type="http://schemas.openxmlformats.org/officeDocument/2006/relationships/hyperlink" Target="https://eur-lex.europa.eu/legal-content/DE/TXT/?qid=1575558443106&amp;uri=CELEX:32019R0943" TargetMode="External"/><Relationship Id="rId183" Type="http://schemas.openxmlformats.org/officeDocument/2006/relationships/hyperlink" Target="https://www.e-control.at/de/recht/bundesrecht/strom/verordnungen" TargetMode="External"/><Relationship Id="rId2" Type="http://schemas.openxmlformats.org/officeDocument/2006/relationships/numbering" Target="numbering.xml"/><Relationship Id="rId29" Type="http://schemas.openxmlformats.org/officeDocument/2006/relationships/hyperlink" Target="https://www.e-control.at/recht/landesrecht" TargetMode="External"/><Relationship Id="rId24" Type="http://schemas.openxmlformats.org/officeDocument/2006/relationships/hyperlink" Target="http://www.apg.at" TargetMode="External"/><Relationship Id="rId40" Type="http://schemas.openxmlformats.org/officeDocument/2006/relationships/hyperlink" Target="https://www.apg.at/de/markt/strommarkt/Allokationen" TargetMode="External"/><Relationship Id="rId45" Type="http://schemas.openxmlformats.org/officeDocument/2006/relationships/hyperlink" Target="https://documents.acer-remit.eu/" TargetMode="External"/><Relationship Id="rId66" Type="http://schemas.openxmlformats.org/officeDocument/2006/relationships/hyperlink" Target="https://www.energylink.at/de/registrierung/lieferanten_versorger" TargetMode="External"/><Relationship Id="rId87" Type="http://schemas.openxmlformats.org/officeDocument/2006/relationships/hyperlink" Target="http://www.ebutilities.at" TargetMode="External"/><Relationship Id="rId110" Type="http://schemas.openxmlformats.org/officeDocument/2006/relationships/hyperlink" Target="mailto:quoten@oem-ag.at" TargetMode="External"/><Relationship Id="rId115" Type="http://schemas.openxmlformats.org/officeDocument/2006/relationships/hyperlink" Target="https://www.ris.bka.gv.at/GeltendeFassung.wxe?Abfrage=Bundesnormen&amp;Gesetzesnummer=20007045" TargetMode="External"/><Relationship Id="rId131" Type="http://schemas.openxmlformats.org/officeDocument/2006/relationships/hyperlink" Target="mailto:Stromkennzeichnung@e-control.at" TargetMode="External"/><Relationship Id="rId136" Type="http://schemas.openxmlformats.org/officeDocument/2006/relationships/hyperlink" Target="https://www.ris.bka.gv.at/GeltendeFassung.wxe?Abfrage=Bundesnormen&amp;Gesetzesnummer=20011430" TargetMode="External"/><Relationship Id="rId157" Type="http://schemas.openxmlformats.org/officeDocument/2006/relationships/footer" Target="footer3.xml"/><Relationship Id="rId178" Type="http://schemas.openxmlformats.org/officeDocument/2006/relationships/hyperlink" Target="http://www.ris.bka.gv.at/GeltendeFassung.wxe?Abfrage=Bundesnormen&amp;Gesetzesnummer=10005027" TargetMode="External"/><Relationship Id="rId61" Type="http://schemas.openxmlformats.org/officeDocument/2006/relationships/hyperlink" Target="https://www.e-control.at/recht/entscheidungen/entscheidungen-regulierungskommission" TargetMode="External"/><Relationship Id="rId82" Type="http://schemas.openxmlformats.org/officeDocument/2006/relationships/hyperlink" Target="http://www.e-control.at/de/marktteilnehmer/infos/tarifkalkulator" TargetMode="External"/><Relationship Id="rId152" Type="http://schemas.openxmlformats.org/officeDocument/2006/relationships/hyperlink" Target="https://www.ris.bka.gv.at/GeltendeFassung.wxe?Abfrage=Bundesnormen&amp;Gesetzesnummer=20007045" TargetMode="External"/><Relationship Id="rId173" Type="http://schemas.openxmlformats.org/officeDocument/2006/relationships/hyperlink" Target="https://www.e-control.at/recht/bundesrecht/strom/verordnungen" TargetMode="External"/><Relationship Id="rId19" Type="http://schemas.openxmlformats.org/officeDocument/2006/relationships/hyperlink" Target="mailto:bgv@e-control.at" TargetMode="External"/><Relationship Id="rId14" Type="http://schemas.openxmlformats.org/officeDocument/2006/relationships/hyperlink" Target="https://www.apcs.at/de/regelwerk/marktregeln/aktuelle_version" TargetMode="External"/><Relationship Id="rId30" Type="http://schemas.openxmlformats.org/officeDocument/2006/relationships/hyperlink" Target="https://www.e-control.at/strom/strommarkt/dienstleister" TargetMode="External"/><Relationship Id="rId35" Type="http://schemas.openxmlformats.org/officeDocument/2006/relationships/hyperlink" Target="https://eur-lex.europa.eu/eli/reg/2016/1719/oj/?locale=de" TargetMode="External"/><Relationship Id="rId56" Type="http://schemas.openxmlformats.org/officeDocument/2006/relationships/hyperlink" Target="https://www.ris.bka.gv.at/GeltendeFassung.wxe?Abfrage=Bundesnormen&amp;Gesetzesnummer=20007045" TargetMode="External"/><Relationship Id="rId77" Type="http://schemas.openxmlformats.org/officeDocument/2006/relationships/hyperlink" Target="https://www.ris.bka.gv.at/GeltendeFassung.wxe?Abfrage=Bundesnormen&amp;Gesetzesnummer=20007045" TargetMode="External"/><Relationship Id="rId100" Type="http://schemas.openxmlformats.org/officeDocument/2006/relationships/hyperlink" Target="http://www.ebutilities.at" TargetMode="External"/><Relationship Id="rId105" Type="http://schemas.openxmlformats.org/officeDocument/2006/relationships/hyperlink" Target="https://www.ris.bka.gv.at/GeltendeFassung.wxe?Abfrage=Bundesnormen&amp;Gesetzesnummer=20007386" TargetMode="External"/><Relationship Id="rId126" Type="http://schemas.openxmlformats.org/officeDocument/2006/relationships/hyperlink" Target="https://eur-lex.europa.eu/legal-content/DE/TXT/?uri=CELEX%3A32018L2001&amp;qid=1612775505946" TargetMode="External"/><Relationship Id="rId147" Type="http://schemas.openxmlformats.org/officeDocument/2006/relationships/hyperlink" Target="https://www.ris.bka.gv.at/GeltendeFassung.wxe?Abfrage=Bundesnormen&amp;Gesetzesnummer=20007046" TargetMode="External"/><Relationship Id="rId168" Type="http://schemas.openxmlformats.org/officeDocument/2006/relationships/hyperlink" Target="https://www.e-control.at/recht/bundesrecht/strom/verordnungen" TargetMode="External"/><Relationship Id="rId8" Type="http://schemas.openxmlformats.org/officeDocument/2006/relationships/image" Target="media/image1.jpeg"/><Relationship Id="rId51" Type="http://schemas.openxmlformats.org/officeDocument/2006/relationships/hyperlink" Target="mailto:remit-registrierung@e-control.at" TargetMode="External"/><Relationship Id="rId72" Type="http://schemas.openxmlformats.org/officeDocument/2006/relationships/hyperlink" Target="https://www.stromnachweis.at" TargetMode="External"/><Relationship Id="rId93" Type="http://schemas.openxmlformats.org/officeDocument/2006/relationships/hyperlink" Target="http://www.ebutilities.at" TargetMode="External"/><Relationship Id="rId98" Type="http://schemas.openxmlformats.org/officeDocument/2006/relationships/hyperlink" Target="http://www.ebutilities.at" TargetMode="External"/><Relationship Id="rId121" Type="http://schemas.openxmlformats.org/officeDocument/2006/relationships/hyperlink" Target="https://www.e-control.at/recht/bundesrecht/strom/verordnungen" TargetMode="External"/><Relationship Id="rId142" Type="http://schemas.openxmlformats.org/officeDocument/2006/relationships/hyperlink" Target="https://www.e-control.at/recht/bundesrecht/strom/verordnungen" TargetMode="External"/><Relationship Id="rId163" Type="http://schemas.openxmlformats.org/officeDocument/2006/relationships/hyperlink" Target="https://eur-lex.europa.eu/legal-content/DE/TXT/?qid=1576080684010&amp;uri=CELEX:32015R1222" TargetMode="External"/><Relationship Id="rId184" Type="http://schemas.openxmlformats.org/officeDocument/2006/relationships/hyperlink" Target="https://www.e-control.at/recht/marktregeln/sonstige-marktregeln-strom" TargetMode="Externa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apg.at/de/markt/strommarkt" TargetMode="External"/><Relationship Id="rId46" Type="http://schemas.openxmlformats.org/officeDocument/2006/relationships/hyperlink" Target="https://www.ris.bka.gv.at/GeltendeFassung.wxe?Abfrage=Bundesnormen&amp;Gesetzesnummer=20009976" TargetMode="External"/><Relationship Id="rId67" Type="http://schemas.openxmlformats.org/officeDocument/2006/relationships/hyperlink" Target="mailto:kundenservice@energylink.at" TargetMode="External"/><Relationship Id="rId116" Type="http://schemas.openxmlformats.org/officeDocument/2006/relationships/hyperlink" Target="http://www.e-control.at/de/recht/bundesrecht/strom/verordnungen" TargetMode="External"/><Relationship Id="rId137" Type="http://schemas.openxmlformats.org/officeDocument/2006/relationships/hyperlink" Target="https://www.ris.bka.gv.at/GeltendeFassung.wxe?Abfrage=Bundesnormen&amp;Gesetzesnummer=20010653" TargetMode="External"/><Relationship Id="rId158" Type="http://schemas.openxmlformats.org/officeDocument/2006/relationships/footer" Target="footer4.xml"/><Relationship Id="rId20" Type="http://schemas.openxmlformats.org/officeDocument/2006/relationships/hyperlink" Target="http://www.apcs.at" TargetMode="External"/><Relationship Id="rId41" Type="http://schemas.openxmlformats.org/officeDocument/2006/relationships/hyperlink" Target="https://www.apg.at/de/markt/strommarkt/Regeln%20zur%20Fahrplananmeldung" TargetMode="External"/><Relationship Id="rId62" Type="http://schemas.openxmlformats.org/officeDocument/2006/relationships/hyperlink" Target="https://www.ris.bka.gv.at/GeltendeFassung.wxe?Abfrage=Bundesnormen&amp;Gesetzesnummer=20007045" TargetMode="External"/><Relationship Id="rId83" Type="http://schemas.openxmlformats.org/officeDocument/2006/relationships/hyperlink" Target="mailto:tarifkalkulator@e-control.at" TargetMode="External"/><Relationship Id="rId88" Type="http://schemas.openxmlformats.org/officeDocument/2006/relationships/hyperlink" Target="http://www.ebutilities.at" TargetMode="External"/><Relationship Id="rId111" Type="http://schemas.openxmlformats.org/officeDocument/2006/relationships/hyperlink" Target="mailto:quoten@oem-ag.at" TargetMode="External"/><Relationship Id="rId132" Type="http://schemas.openxmlformats.org/officeDocument/2006/relationships/hyperlink" Target="http://www.ris.bka.gv.at/GeltendeFassung.wxe?Abfrage=Bundesnormen&amp;Gesetzesnummer=10005027" TargetMode="External"/><Relationship Id="rId153" Type="http://schemas.openxmlformats.org/officeDocument/2006/relationships/hyperlink" Target="http://www.e-control.at/de/recht/Landesrecht" TargetMode="External"/><Relationship Id="rId174" Type="http://schemas.openxmlformats.org/officeDocument/2006/relationships/hyperlink" Target="https://eur-lex.europa.eu/legal-content/DE/ALL/?uri=CELEX:32016R0679" TargetMode="External"/><Relationship Id="rId179" Type="http://schemas.openxmlformats.org/officeDocument/2006/relationships/hyperlink" Target="http://www.e-control.at/de/marktteilnehmer/strom/strommarkt/preise/steuern-und-abgaben/gebrauchsabgabe" TargetMode="External"/><Relationship Id="rId15" Type="http://schemas.openxmlformats.org/officeDocument/2006/relationships/hyperlink" Target="https://www.ris.bka.gv.at/GeltendeFassung.wxe?Abfrage=Bundesnormen&amp;Gesetzesnummer=20007045" TargetMode="External"/><Relationship Id="rId36" Type="http://schemas.openxmlformats.org/officeDocument/2006/relationships/hyperlink" Target="https://www.e-control.at/marktteilnehmer/strom/network-codes-und-guidelines" TargetMode="External"/><Relationship Id="rId57" Type="http://schemas.openxmlformats.org/officeDocument/2006/relationships/hyperlink" Target="https://www.ris.bka.gv.at/GeltendeFassung.wxe?Abfrage=Bundesnormen&amp;Gesetzesnummer=20007045" TargetMode="External"/><Relationship Id="rId106" Type="http://schemas.openxmlformats.org/officeDocument/2006/relationships/hyperlink" Target="https://www.ris.bka.gv.at/GeltendeFassung.wxe?Abfrage=Bundesnormen&amp;Gesetzesnummer=20007386" TargetMode="External"/><Relationship Id="rId127" Type="http://schemas.openxmlformats.org/officeDocument/2006/relationships/hyperlink" Target="https://www.ris.bka.gv.at/GeltendeFassung.wxe?Abfrage=Bundesnormen&amp;Gesetzesnummer=20007045" TargetMode="External"/><Relationship Id="rId10" Type="http://schemas.openxmlformats.org/officeDocument/2006/relationships/footer" Target="footer1.xml"/><Relationship Id="rId31" Type="http://schemas.openxmlformats.org/officeDocument/2006/relationships/hyperlink" Target="https://www.apcs.at/de/registrierung/lieferant" TargetMode="External"/><Relationship Id="rId52" Type="http://schemas.openxmlformats.org/officeDocument/2006/relationships/hyperlink" Target="https://www.ris.bka.gv.at/GeltendeFassung.wxe?Abfrage=Bundesnormen&amp;Gesetzesnummer=20007045" TargetMode="External"/><Relationship Id="rId73" Type="http://schemas.openxmlformats.org/officeDocument/2006/relationships/hyperlink" Target="https://www.stromnachweis.at/stammdaten_unternehmen_registrieren.asp" TargetMode="External"/><Relationship Id="rId78" Type="http://schemas.openxmlformats.org/officeDocument/2006/relationships/hyperlink" Target="http://www.e-control.at/services" TargetMode="External"/><Relationship Id="rId94" Type="http://schemas.openxmlformats.org/officeDocument/2006/relationships/hyperlink" Target="https://www.e-control.at/marktteilnehmer/strom/marktregeln/sonstige_marktregeln" TargetMode="External"/><Relationship Id="rId99" Type="http://schemas.openxmlformats.org/officeDocument/2006/relationships/hyperlink" Target="http://www.ebutilities.at" TargetMode="External"/><Relationship Id="rId101" Type="http://schemas.openxmlformats.org/officeDocument/2006/relationships/hyperlink" Target="https://www.e-control.at/marktteilnehmer/strom/marktregeln/sonstige_marktregeln" TargetMode="External"/><Relationship Id="rId122" Type="http://schemas.openxmlformats.org/officeDocument/2006/relationships/hyperlink" Target="https://www.ris.bka.gv.at/GeltendeFassung.wxe?Abfrage=Bundesnormen&amp;Gesetzesnummer=20007045" TargetMode="External"/><Relationship Id="rId143" Type="http://schemas.openxmlformats.org/officeDocument/2006/relationships/hyperlink" Target="https://www.e-control.at/de/marktteilnehmer/erhebungen/erhebungen-im-rahmen-der-bundesstatistiken/elektrizitaetsbereich" TargetMode="External"/><Relationship Id="rId148" Type="http://schemas.openxmlformats.org/officeDocument/2006/relationships/hyperlink" Target="https://www.ris.bka.gv.at/GeltendeFassung.wxe?Abfrage=Bundesnormen&amp;Gesetzesnummer=20009976" TargetMode="External"/><Relationship Id="rId164" Type="http://schemas.openxmlformats.org/officeDocument/2006/relationships/hyperlink" Target="https://eur-lex.europa.eu/legal-content/DE/TXT/?qid=1576080729097&amp;uri=CELEX:32016R1719" TargetMode="External"/><Relationship Id="rId169" Type="http://schemas.openxmlformats.org/officeDocument/2006/relationships/hyperlink" Target="https://eur-lex.europa.eu/legal-content/DE/TXT/?qid=1576081236301&amp;uri=CELEX:32019L0944" TargetMode="External"/><Relationship Id="rId185" Type="http://schemas.openxmlformats.org/officeDocument/2006/relationships/hyperlink" Target="https://www.e-control.at/recht/allgemeine-bedingungen/allgemeine-bedingungen-strom"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https://www.bmf.gv.at/themen/steuern/fuer-unternehmen/umsatzsteuer.html" TargetMode="External"/><Relationship Id="rId26" Type="http://schemas.openxmlformats.org/officeDocument/2006/relationships/hyperlink" Target="https://www.e-control.at/recht/marktregeln/sonstige-marktregeln-strom" TargetMode="External"/><Relationship Id="rId47" Type="http://schemas.openxmlformats.org/officeDocument/2006/relationships/hyperlink" Target="https://eur-lex.europa.eu/legal-content/DE/TXT/?uri=CELEX:32014R1348" TargetMode="External"/><Relationship Id="rId68" Type="http://schemas.openxmlformats.org/officeDocument/2006/relationships/hyperlink" Target="https://www.energylink.at/de/download/technische-dokumentation" TargetMode="External"/><Relationship Id="rId89" Type="http://schemas.openxmlformats.org/officeDocument/2006/relationships/hyperlink" Target="https://ebutilities.at/utilities/marktpartner/registration/index.php" TargetMode="External"/><Relationship Id="rId112" Type="http://schemas.openxmlformats.org/officeDocument/2006/relationships/hyperlink" Target="https://www.ris.bka.gv.at/GeltendeFassung.wxe?Abfrage=Bundesnormen&amp;Gesetzesnummer=20007045" TargetMode="External"/><Relationship Id="rId133" Type="http://schemas.openxmlformats.org/officeDocument/2006/relationships/hyperlink" Target="http://www.e-control.at/de/marktteilnehmer/strom/strommarkt/preise/steuern-und-abgaben/gebrauchsabgabe" TargetMode="External"/><Relationship Id="rId154" Type="http://schemas.openxmlformats.org/officeDocument/2006/relationships/hyperlink" Target="https://www.ris.bka.gv.at/GeltendeFassung.wxe?Abfrage=Bundesnormen&amp;Gesetzesnummer=10002462" TargetMode="External"/><Relationship Id="rId175" Type="http://schemas.openxmlformats.org/officeDocument/2006/relationships/hyperlink" Target="https://www.ris.bka.gv.at/GeltendeFassung.wxe?Abfrage=Bundesnormen&amp;Gesetzesnummer=10002462" TargetMode="External"/><Relationship Id="rId16" Type="http://schemas.openxmlformats.org/officeDocument/2006/relationships/hyperlink" Target="http://www.e-control.at/de/recht/Landesrecht" TargetMode="External"/><Relationship Id="rId37" Type="http://schemas.openxmlformats.org/officeDocument/2006/relationships/hyperlink" Target="https://www.e-control.at/recht/marktregeln/sonstige-marktregeln-strom" TargetMode="External"/><Relationship Id="rId58" Type="http://schemas.openxmlformats.org/officeDocument/2006/relationships/hyperlink" Target="https://www.ris.bka.gv.at/GeltendeFassung.wxe?Abfrage=Bundesnormen&amp;Gesetzesnummer=20007045" TargetMode="External"/><Relationship Id="rId79" Type="http://schemas.openxmlformats.org/officeDocument/2006/relationships/hyperlink" Target="mailto:tarifkalkulator@e-control.at" TargetMode="External"/><Relationship Id="rId102" Type="http://schemas.openxmlformats.org/officeDocument/2006/relationships/hyperlink" Target="https://eur-lex.europa.eu/legal-content/DE/ALL/?uri=CELEX%3A32016R0679" TargetMode="External"/><Relationship Id="rId123" Type="http://schemas.openxmlformats.org/officeDocument/2006/relationships/hyperlink" Target="https://www.e-control.at/recht/bundesrecht/strom/verordnungen" TargetMode="External"/><Relationship Id="rId144" Type="http://schemas.openxmlformats.org/officeDocument/2006/relationships/hyperlink" Target="https://eur-lex.europa.eu/legal-content/DE/ALL/?uri=CELEX%3A32011R1227" TargetMode="External"/><Relationship Id="rId90" Type="http://schemas.openxmlformats.org/officeDocument/2006/relationships/hyperlink" Target="https://www.e-control.at/de/recht/marktregeln/sonstige-marktregeln-strom" TargetMode="External"/><Relationship Id="rId165" Type="http://schemas.openxmlformats.org/officeDocument/2006/relationships/hyperlink" Target="https://eur-lex.europa.eu/legal-content/DE/TXT/?qid=1576081060977&amp;uri=CELEX:32011R1227" TargetMode="External"/><Relationship Id="rId186" Type="http://schemas.openxmlformats.org/officeDocument/2006/relationships/header" Target="header3.xml"/><Relationship Id="rId27" Type="http://schemas.openxmlformats.org/officeDocument/2006/relationships/hyperlink" Target="https://www.e-control.at/recht/marktregeln/sonstige-marktregeln-strom" TargetMode="External"/><Relationship Id="rId48" Type="http://schemas.openxmlformats.org/officeDocument/2006/relationships/hyperlink" Target="https://eur-lex.europa.eu/legal-content/DE/ALL/?uri=CELEX%3A32011R1227" TargetMode="External"/><Relationship Id="rId69" Type="http://schemas.openxmlformats.org/officeDocument/2006/relationships/hyperlink" Target="https://www.energylink.at/de/download/technische-dokumentation" TargetMode="External"/><Relationship Id="rId113" Type="http://schemas.openxmlformats.org/officeDocument/2006/relationships/hyperlink" Target="https://www.e-control.at/marktteilnehmer/infos/tarifkalkulator" TargetMode="External"/><Relationship Id="rId134" Type="http://schemas.openxmlformats.org/officeDocument/2006/relationships/hyperlink" Target="https://www.bmf.gv.at/themen/steuern/fuer-unternehmen/umsatzsteuer.html" TargetMode="External"/><Relationship Id="rId80" Type="http://schemas.openxmlformats.org/officeDocument/2006/relationships/hyperlink" Target="https://www.e-control.at/marktteilnehmer/infos/tarifkalkulator" TargetMode="External"/><Relationship Id="rId155" Type="http://schemas.openxmlformats.org/officeDocument/2006/relationships/hyperlink" Target="https://www.ris.bka.gv.at/GeltendeFassung.wxe?Abfrage=Bundesnormen&amp;Gesetzesnummer=20007045" TargetMode="External"/><Relationship Id="rId176" Type="http://schemas.openxmlformats.org/officeDocument/2006/relationships/hyperlink" Target="https://www.e-control.at/de/recht/bundesrecht/strom/verordnungen" TargetMode="External"/><Relationship Id="rId17" Type="http://schemas.openxmlformats.org/officeDocument/2006/relationships/hyperlink" Target="http://www.e-control.at/de/recht/Landesrecht" TargetMode="External"/><Relationship Id="rId38" Type="http://schemas.openxmlformats.org/officeDocument/2006/relationships/hyperlink" Target="https://www.e-control.at/recht/marktregeln/sonstige-marktregeln-strom" TargetMode="External"/><Relationship Id="rId59" Type="http://schemas.openxmlformats.org/officeDocument/2006/relationships/hyperlink" Target="https://www.ris.bka.gv.at/GeltendeFassung.wxe?Abfrage=Bundesnormen&amp;Gesetzesnummer=20007045" TargetMode="External"/><Relationship Id="rId103" Type="http://schemas.openxmlformats.org/officeDocument/2006/relationships/hyperlink" Target="https://meine.e-control.org/verteilerlisten/" TargetMode="External"/><Relationship Id="rId124" Type="http://schemas.openxmlformats.org/officeDocument/2006/relationships/hyperlink" Target="https://www.e-control.at/recht/bundesrecht/strom/verordnungen" TargetMode="External"/><Relationship Id="rId70" Type="http://schemas.openxmlformats.org/officeDocument/2006/relationships/hyperlink" Target="https://www.ris.bka.gv.at/GeltendeFassung.wxe?Abfrage=Bundesnormen&amp;Gesetzesnummer=20007386" TargetMode="External"/><Relationship Id="rId91" Type="http://schemas.openxmlformats.org/officeDocument/2006/relationships/hyperlink" Target="http://www.ebutilities.at" TargetMode="External"/><Relationship Id="rId145" Type="http://schemas.openxmlformats.org/officeDocument/2006/relationships/hyperlink" Target="https://eur-lex.europa.eu/legal-content/EN/TXT/?uri=uriserv%3AOJ.L_.2014.363.01.0121.01.DEU" TargetMode="External"/><Relationship Id="rId166" Type="http://schemas.openxmlformats.org/officeDocument/2006/relationships/hyperlink" Target="https://eur-lex.europa.eu/legal-content/DE/TXT/?qid=1576081140784&amp;uri=CELEX:32014R1348" TargetMode="External"/><Relationship Id="rId187" Type="http://schemas.openxmlformats.org/officeDocument/2006/relationships/footer" Target="footer5.xml"/><Relationship Id="rId1" Type="http://schemas.openxmlformats.org/officeDocument/2006/relationships/customXml" Target="../customXml/item1.xml"/><Relationship Id="rId28" Type="http://schemas.openxmlformats.org/officeDocument/2006/relationships/hyperlink" Target="mailto:bgv@e-control.at" TargetMode="External"/><Relationship Id="rId49" Type="http://schemas.openxmlformats.org/officeDocument/2006/relationships/hyperlink" Target="https://eur-lex.europa.eu/legal-content/DE/ALL/?uri=CELEX%3A32011R1227" TargetMode="External"/><Relationship Id="rId114" Type="http://schemas.openxmlformats.org/officeDocument/2006/relationships/hyperlink" Target="mailto:tarifkalkulator@e-control.at" TargetMode="External"/><Relationship Id="rId60" Type="http://schemas.openxmlformats.org/officeDocument/2006/relationships/hyperlink" Target="https://www.ris.bka.gv.at/GeltendeFassung.wxe?Abfrage=Bundesnormen&amp;Gesetzesnummer=20007046" TargetMode="External"/><Relationship Id="rId81" Type="http://schemas.openxmlformats.org/officeDocument/2006/relationships/hyperlink" Target="mailto:tarifkalkulator@e-control.at" TargetMode="External"/><Relationship Id="rId135" Type="http://schemas.openxmlformats.org/officeDocument/2006/relationships/hyperlink" Target="https://www.ris.bka.gv.at/GeltendeFassung.wxe?Abfrage=Bundesnormen&amp;Gesetzesnummer=20011432" TargetMode="External"/><Relationship Id="rId156" Type="http://schemas.openxmlformats.org/officeDocument/2006/relationships/header" Target="header2.xml"/><Relationship Id="rId177" Type="http://schemas.openxmlformats.org/officeDocument/2006/relationships/hyperlink" Target="https://www.e-control.at/recht/bundesrecht/strom/verordnung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8CAD7-C20A-4488-9EDC-739C14365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10206</Words>
  <Characters>98878</Characters>
  <Application>Microsoft Office Word</Application>
  <DocSecurity>0</DocSecurity>
  <Lines>823</Lines>
  <Paragraphs>217</Paragraphs>
  <ScaleCrop>false</ScaleCrop>
  <HeadingPairs>
    <vt:vector size="2" baseType="variant">
      <vt:variant>
        <vt:lpstr>Titel</vt:lpstr>
      </vt:variant>
      <vt:variant>
        <vt:i4>1</vt:i4>
      </vt:variant>
    </vt:vector>
  </HeadingPairs>
  <TitlesOfParts>
    <vt:vector size="1" baseType="lpstr">
      <vt:lpstr>Markteintritt Strom</vt:lpstr>
    </vt:vector>
  </TitlesOfParts>
  <Company>E-Control Austria</Company>
  <LinksUpToDate>false</LinksUpToDate>
  <CharactersWithSpaces>108867</CharactersWithSpaces>
  <SharedDoc>false</SharedDoc>
  <HLinks>
    <vt:vector size="330" baseType="variant">
      <vt:variant>
        <vt:i4>2031668</vt:i4>
      </vt:variant>
      <vt:variant>
        <vt:i4>326</vt:i4>
      </vt:variant>
      <vt:variant>
        <vt:i4>0</vt:i4>
      </vt:variant>
      <vt:variant>
        <vt:i4>5</vt:i4>
      </vt:variant>
      <vt:variant>
        <vt:lpwstr/>
      </vt:variant>
      <vt:variant>
        <vt:lpwstr>_Toc244945607</vt:lpwstr>
      </vt:variant>
      <vt:variant>
        <vt:i4>2031668</vt:i4>
      </vt:variant>
      <vt:variant>
        <vt:i4>320</vt:i4>
      </vt:variant>
      <vt:variant>
        <vt:i4>0</vt:i4>
      </vt:variant>
      <vt:variant>
        <vt:i4>5</vt:i4>
      </vt:variant>
      <vt:variant>
        <vt:lpwstr/>
      </vt:variant>
      <vt:variant>
        <vt:lpwstr>_Toc244945606</vt:lpwstr>
      </vt:variant>
      <vt:variant>
        <vt:i4>2031668</vt:i4>
      </vt:variant>
      <vt:variant>
        <vt:i4>314</vt:i4>
      </vt:variant>
      <vt:variant>
        <vt:i4>0</vt:i4>
      </vt:variant>
      <vt:variant>
        <vt:i4>5</vt:i4>
      </vt:variant>
      <vt:variant>
        <vt:lpwstr/>
      </vt:variant>
      <vt:variant>
        <vt:lpwstr>_Toc244945605</vt:lpwstr>
      </vt:variant>
      <vt:variant>
        <vt:i4>2031668</vt:i4>
      </vt:variant>
      <vt:variant>
        <vt:i4>308</vt:i4>
      </vt:variant>
      <vt:variant>
        <vt:i4>0</vt:i4>
      </vt:variant>
      <vt:variant>
        <vt:i4>5</vt:i4>
      </vt:variant>
      <vt:variant>
        <vt:lpwstr/>
      </vt:variant>
      <vt:variant>
        <vt:lpwstr>_Toc244945604</vt:lpwstr>
      </vt:variant>
      <vt:variant>
        <vt:i4>2031668</vt:i4>
      </vt:variant>
      <vt:variant>
        <vt:i4>302</vt:i4>
      </vt:variant>
      <vt:variant>
        <vt:i4>0</vt:i4>
      </vt:variant>
      <vt:variant>
        <vt:i4>5</vt:i4>
      </vt:variant>
      <vt:variant>
        <vt:lpwstr/>
      </vt:variant>
      <vt:variant>
        <vt:lpwstr>_Toc244945603</vt:lpwstr>
      </vt:variant>
      <vt:variant>
        <vt:i4>2031668</vt:i4>
      </vt:variant>
      <vt:variant>
        <vt:i4>296</vt:i4>
      </vt:variant>
      <vt:variant>
        <vt:i4>0</vt:i4>
      </vt:variant>
      <vt:variant>
        <vt:i4>5</vt:i4>
      </vt:variant>
      <vt:variant>
        <vt:lpwstr/>
      </vt:variant>
      <vt:variant>
        <vt:lpwstr>_Toc244945602</vt:lpwstr>
      </vt:variant>
      <vt:variant>
        <vt:i4>2031668</vt:i4>
      </vt:variant>
      <vt:variant>
        <vt:i4>290</vt:i4>
      </vt:variant>
      <vt:variant>
        <vt:i4>0</vt:i4>
      </vt:variant>
      <vt:variant>
        <vt:i4>5</vt:i4>
      </vt:variant>
      <vt:variant>
        <vt:lpwstr/>
      </vt:variant>
      <vt:variant>
        <vt:lpwstr>_Toc244945601</vt:lpwstr>
      </vt:variant>
      <vt:variant>
        <vt:i4>2031668</vt:i4>
      </vt:variant>
      <vt:variant>
        <vt:i4>284</vt:i4>
      </vt:variant>
      <vt:variant>
        <vt:i4>0</vt:i4>
      </vt:variant>
      <vt:variant>
        <vt:i4>5</vt:i4>
      </vt:variant>
      <vt:variant>
        <vt:lpwstr/>
      </vt:variant>
      <vt:variant>
        <vt:lpwstr>_Toc244945600</vt:lpwstr>
      </vt:variant>
      <vt:variant>
        <vt:i4>1441847</vt:i4>
      </vt:variant>
      <vt:variant>
        <vt:i4>278</vt:i4>
      </vt:variant>
      <vt:variant>
        <vt:i4>0</vt:i4>
      </vt:variant>
      <vt:variant>
        <vt:i4>5</vt:i4>
      </vt:variant>
      <vt:variant>
        <vt:lpwstr/>
      </vt:variant>
      <vt:variant>
        <vt:lpwstr>_Toc244945599</vt:lpwstr>
      </vt:variant>
      <vt:variant>
        <vt:i4>1441847</vt:i4>
      </vt:variant>
      <vt:variant>
        <vt:i4>272</vt:i4>
      </vt:variant>
      <vt:variant>
        <vt:i4>0</vt:i4>
      </vt:variant>
      <vt:variant>
        <vt:i4>5</vt:i4>
      </vt:variant>
      <vt:variant>
        <vt:lpwstr/>
      </vt:variant>
      <vt:variant>
        <vt:lpwstr>_Toc244945598</vt:lpwstr>
      </vt:variant>
      <vt:variant>
        <vt:i4>1441847</vt:i4>
      </vt:variant>
      <vt:variant>
        <vt:i4>266</vt:i4>
      </vt:variant>
      <vt:variant>
        <vt:i4>0</vt:i4>
      </vt:variant>
      <vt:variant>
        <vt:i4>5</vt:i4>
      </vt:variant>
      <vt:variant>
        <vt:lpwstr/>
      </vt:variant>
      <vt:variant>
        <vt:lpwstr>_Toc244945597</vt:lpwstr>
      </vt:variant>
      <vt:variant>
        <vt:i4>1441847</vt:i4>
      </vt:variant>
      <vt:variant>
        <vt:i4>260</vt:i4>
      </vt:variant>
      <vt:variant>
        <vt:i4>0</vt:i4>
      </vt:variant>
      <vt:variant>
        <vt:i4>5</vt:i4>
      </vt:variant>
      <vt:variant>
        <vt:lpwstr/>
      </vt:variant>
      <vt:variant>
        <vt:lpwstr>_Toc244945596</vt:lpwstr>
      </vt:variant>
      <vt:variant>
        <vt:i4>1441847</vt:i4>
      </vt:variant>
      <vt:variant>
        <vt:i4>254</vt:i4>
      </vt:variant>
      <vt:variant>
        <vt:i4>0</vt:i4>
      </vt:variant>
      <vt:variant>
        <vt:i4>5</vt:i4>
      </vt:variant>
      <vt:variant>
        <vt:lpwstr/>
      </vt:variant>
      <vt:variant>
        <vt:lpwstr>_Toc244945595</vt:lpwstr>
      </vt:variant>
      <vt:variant>
        <vt:i4>1441847</vt:i4>
      </vt:variant>
      <vt:variant>
        <vt:i4>248</vt:i4>
      </vt:variant>
      <vt:variant>
        <vt:i4>0</vt:i4>
      </vt:variant>
      <vt:variant>
        <vt:i4>5</vt:i4>
      </vt:variant>
      <vt:variant>
        <vt:lpwstr/>
      </vt:variant>
      <vt:variant>
        <vt:lpwstr>_Toc244945594</vt:lpwstr>
      </vt:variant>
      <vt:variant>
        <vt:i4>1441847</vt:i4>
      </vt:variant>
      <vt:variant>
        <vt:i4>242</vt:i4>
      </vt:variant>
      <vt:variant>
        <vt:i4>0</vt:i4>
      </vt:variant>
      <vt:variant>
        <vt:i4>5</vt:i4>
      </vt:variant>
      <vt:variant>
        <vt:lpwstr/>
      </vt:variant>
      <vt:variant>
        <vt:lpwstr>_Toc244945593</vt:lpwstr>
      </vt:variant>
      <vt:variant>
        <vt:i4>1441847</vt:i4>
      </vt:variant>
      <vt:variant>
        <vt:i4>236</vt:i4>
      </vt:variant>
      <vt:variant>
        <vt:i4>0</vt:i4>
      </vt:variant>
      <vt:variant>
        <vt:i4>5</vt:i4>
      </vt:variant>
      <vt:variant>
        <vt:lpwstr/>
      </vt:variant>
      <vt:variant>
        <vt:lpwstr>_Toc244945592</vt:lpwstr>
      </vt:variant>
      <vt:variant>
        <vt:i4>1441847</vt:i4>
      </vt:variant>
      <vt:variant>
        <vt:i4>230</vt:i4>
      </vt:variant>
      <vt:variant>
        <vt:i4>0</vt:i4>
      </vt:variant>
      <vt:variant>
        <vt:i4>5</vt:i4>
      </vt:variant>
      <vt:variant>
        <vt:lpwstr/>
      </vt:variant>
      <vt:variant>
        <vt:lpwstr>_Toc244945591</vt:lpwstr>
      </vt:variant>
      <vt:variant>
        <vt:i4>1441847</vt:i4>
      </vt:variant>
      <vt:variant>
        <vt:i4>224</vt:i4>
      </vt:variant>
      <vt:variant>
        <vt:i4>0</vt:i4>
      </vt:variant>
      <vt:variant>
        <vt:i4>5</vt:i4>
      </vt:variant>
      <vt:variant>
        <vt:lpwstr/>
      </vt:variant>
      <vt:variant>
        <vt:lpwstr>_Toc244945590</vt:lpwstr>
      </vt:variant>
      <vt:variant>
        <vt:i4>1507383</vt:i4>
      </vt:variant>
      <vt:variant>
        <vt:i4>218</vt:i4>
      </vt:variant>
      <vt:variant>
        <vt:i4>0</vt:i4>
      </vt:variant>
      <vt:variant>
        <vt:i4>5</vt:i4>
      </vt:variant>
      <vt:variant>
        <vt:lpwstr/>
      </vt:variant>
      <vt:variant>
        <vt:lpwstr>_Toc244945589</vt:lpwstr>
      </vt:variant>
      <vt:variant>
        <vt:i4>1507383</vt:i4>
      </vt:variant>
      <vt:variant>
        <vt:i4>212</vt:i4>
      </vt:variant>
      <vt:variant>
        <vt:i4>0</vt:i4>
      </vt:variant>
      <vt:variant>
        <vt:i4>5</vt:i4>
      </vt:variant>
      <vt:variant>
        <vt:lpwstr/>
      </vt:variant>
      <vt:variant>
        <vt:lpwstr>_Toc244945588</vt:lpwstr>
      </vt:variant>
      <vt:variant>
        <vt:i4>1507383</vt:i4>
      </vt:variant>
      <vt:variant>
        <vt:i4>206</vt:i4>
      </vt:variant>
      <vt:variant>
        <vt:i4>0</vt:i4>
      </vt:variant>
      <vt:variant>
        <vt:i4>5</vt:i4>
      </vt:variant>
      <vt:variant>
        <vt:lpwstr/>
      </vt:variant>
      <vt:variant>
        <vt:lpwstr>_Toc244945587</vt:lpwstr>
      </vt:variant>
      <vt:variant>
        <vt:i4>1507383</vt:i4>
      </vt:variant>
      <vt:variant>
        <vt:i4>200</vt:i4>
      </vt:variant>
      <vt:variant>
        <vt:i4>0</vt:i4>
      </vt:variant>
      <vt:variant>
        <vt:i4>5</vt:i4>
      </vt:variant>
      <vt:variant>
        <vt:lpwstr/>
      </vt:variant>
      <vt:variant>
        <vt:lpwstr>_Toc244945586</vt:lpwstr>
      </vt:variant>
      <vt:variant>
        <vt:i4>1507383</vt:i4>
      </vt:variant>
      <vt:variant>
        <vt:i4>194</vt:i4>
      </vt:variant>
      <vt:variant>
        <vt:i4>0</vt:i4>
      </vt:variant>
      <vt:variant>
        <vt:i4>5</vt:i4>
      </vt:variant>
      <vt:variant>
        <vt:lpwstr/>
      </vt:variant>
      <vt:variant>
        <vt:lpwstr>_Toc244945585</vt:lpwstr>
      </vt:variant>
      <vt:variant>
        <vt:i4>1507383</vt:i4>
      </vt:variant>
      <vt:variant>
        <vt:i4>188</vt:i4>
      </vt:variant>
      <vt:variant>
        <vt:i4>0</vt:i4>
      </vt:variant>
      <vt:variant>
        <vt:i4>5</vt:i4>
      </vt:variant>
      <vt:variant>
        <vt:lpwstr/>
      </vt:variant>
      <vt:variant>
        <vt:lpwstr>_Toc244945584</vt:lpwstr>
      </vt:variant>
      <vt:variant>
        <vt:i4>1507383</vt:i4>
      </vt:variant>
      <vt:variant>
        <vt:i4>182</vt:i4>
      </vt:variant>
      <vt:variant>
        <vt:i4>0</vt:i4>
      </vt:variant>
      <vt:variant>
        <vt:i4>5</vt:i4>
      </vt:variant>
      <vt:variant>
        <vt:lpwstr/>
      </vt:variant>
      <vt:variant>
        <vt:lpwstr>_Toc244945583</vt:lpwstr>
      </vt:variant>
      <vt:variant>
        <vt:i4>1507383</vt:i4>
      </vt:variant>
      <vt:variant>
        <vt:i4>176</vt:i4>
      </vt:variant>
      <vt:variant>
        <vt:i4>0</vt:i4>
      </vt:variant>
      <vt:variant>
        <vt:i4>5</vt:i4>
      </vt:variant>
      <vt:variant>
        <vt:lpwstr/>
      </vt:variant>
      <vt:variant>
        <vt:lpwstr>_Toc244945582</vt:lpwstr>
      </vt:variant>
      <vt:variant>
        <vt:i4>1507383</vt:i4>
      </vt:variant>
      <vt:variant>
        <vt:i4>170</vt:i4>
      </vt:variant>
      <vt:variant>
        <vt:i4>0</vt:i4>
      </vt:variant>
      <vt:variant>
        <vt:i4>5</vt:i4>
      </vt:variant>
      <vt:variant>
        <vt:lpwstr/>
      </vt:variant>
      <vt:variant>
        <vt:lpwstr>_Toc244945581</vt:lpwstr>
      </vt:variant>
      <vt:variant>
        <vt:i4>1507383</vt:i4>
      </vt:variant>
      <vt:variant>
        <vt:i4>164</vt:i4>
      </vt:variant>
      <vt:variant>
        <vt:i4>0</vt:i4>
      </vt:variant>
      <vt:variant>
        <vt:i4>5</vt:i4>
      </vt:variant>
      <vt:variant>
        <vt:lpwstr/>
      </vt:variant>
      <vt:variant>
        <vt:lpwstr>_Toc244945580</vt:lpwstr>
      </vt:variant>
      <vt:variant>
        <vt:i4>1572919</vt:i4>
      </vt:variant>
      <vt:variant>
        <vt:i4>158</vt:i4>
      </vt:variant>
      <vt:variant>
        <vt:i4>0</vt:i4>
      </vt:variant>
      <vt:variant>
        <vt:i4>5</vt:i4>
      </vt:variant>
      <vt:variant>
        <vt:lpwstr/>
      </vt:variant>
      <vt:variant>
        <vt:lpwstr>_Toc244945579</vt:lpwstr>
      </vt:variant>
      <vt:variant>
        <vt:i4>1572919</vt:i4>
      </vt:variant>
      <vt:variant>
        <vt:i4>152</vt:i4>
      </vt:variant>
      <vt:variant>
        <vt:i4>0</vt:i4>
      </vt:variant>
      <vt:variant>
        <vt:i4>5</vt:i4>
      </vt:variant>
      <vt:variant>
        <vt:lpwstr/>
      </vt:variant>
      <vt:variant>
        <vt:lpwstr>_Toc244945578</vt:lpwstr>
      </vt:variant>
      <vt:variant>
        <vt:i4>1572919</vt:i4>
      </vt:variant>
      <vt:variant>
        <vt:i4>146</vt:i4>
      </vt:variant>
      <vt:variant>
        <vt:i4>0</vt:i4>
      </vt:variant>
      <vt:variant>
        <vt:i4>5</vt:i4>
      </vt:variant>
      <vt:variant>
        <vt:lpwstr/>
      </vt:variant>
      <vt:variant>
        <vt:lpwstr>_Toc244945577</vt:lpwstr>
      </vt:variant>
      <vt:variant>
        <vt:i4>1572919</vt:i4>
      </vt:variant>
      <vt:variant>
        <vt:i4>140</vt:i4>
      </vt:variant>
      <vt:variant>
        <vt:i4>0</vt:i4>
      </vt:variant>
      <vt:variant>
        <vt:i4>5</vt:i4>
      </vt:variant>
      <vt:variant>
        <vt:lpwstr/>
      </vt:variant>
      <vt:variant>
        <vt:lpwstr>_Toc244945576</vt:lpwstr>
      </vt:variant>
      <vt:variant>
        <vt:i4>1572919</vt:i4>
      </vt:variant>
      <vt:variant>
        <vt:i4>134</vt:i4>
      </vt:variant>
      <vt:variant>
        <vt:i4>0</vt:i4>
      </vt:variant>
      <vt:variant>
        <vt:i4>5</vt:i4>
      </vt:variant>
      <vt:variant>
        <vt:lpwstr/>
      </vt:variant>
      <vt:variant>
        <vt:lpwstr>_Toc244945575</vt:lpwstr>
      </vt:variant>
      <vt:variant>
        <vt:i4>1572919</vt:i4>
      </vt:variant>
      <vt:variant>
        <vt:i4>128</vt:i4>
      </vt:variant>
      <vt:variant>
        <vt:i4>0</vt:i4>
      </vt:variant>
      <vt:variant>
        <vt:i4>5</vt:i4>
      </vt:variant>
      <vt:variant>
        <vt:lpwstr/>
      </vt:variant>
      <vt:variant>
        <vt:lpwstr>_Toc244945574</vt:lpwstr>
      </vt:variant>
      <vt:variant>
        <vt:i4>1572919</vt:i4>
      </vt:variant>
      <vt:variant>
        <vt:i4>122</vt:i4>
      </vt:variant>
      <vt:variant>
        <vt:i4>0</vt:i4>
      </vt:variant>
      <vt:variant>
        <vt:i4>5</vt:i4>
      </vt:variant>
      <vt:variant>
        <vt:lpwstr/>
      </vt:variant>
      <vt:variant>
        <vt:lpwstr>_Toc244945573</vt:lpwstr>
      </vt:variant>
      <vt:variant>
        <vt:i4>1572919</vt:i4>
      </vt:variant>
      <vt:variant>
        <vt:i4>116</vt:i4>
      </vt:variant>
      <vt:variant>
        <vt:i4>0</vt:i4>
      </vt:variant>
      <vt:variant>
        <vt:i4>5</vt:i4>
      </vt:variant>
      <vt:variant>
        <vt:lpwstr/>
      </vt:variant>
      <vt:variant>
        <vt:lpwstr>_Toc244945572</vt:lpwstr>
      </vt:variant>
      <vt:variant>
        <vt:i4>1572919</vt:i4>
      </vt:variant>
      <vt:variant>
        <vt:i4>110</vt:i4>
      </vt:variant>
      <vt:variant>
        <vt:i4>0</vt:i4>
      </vt:variant>
      <vt:variant>
        <vt:i4>5</vt:i4>
      </vt:variant>
      <vt:variant>
        <vt:lpwstr/>
      </vt:variant>
      <vt:variant>
        <vt:lpwstr>_Toc244945571</vt:lpwstr>
      </vt:variant>
      <vt:variant>
        <vt:i4>1572919</vt:i4>
      </vt:variant>
      <vt:variant>
        <vt:i4>104</vt:i4>
      </vt:variant>
      <vt:variant>
        <vt:i4>0</vt:i4>
      </vt:variant>
      <vt:variant>
        <vt:i4>5</vt:i4>
      </vt:variant>
      <vt:variant>
        <vt:lpwstr/>
      </vt:variant>
      <vt:variant>
        <vt:lpwstr>_Toc244945570</vt:lpwstr>
      </vt:variant>
      <vt:variant>
        <vt:i4>1638455</vt:i4>
      </vt:variant>
      <vt:variant>
        <vt:i4>98</vt:i4>
      </vt:variant>
      <vt:variant>
        <vt:i4>0</vt:i4>
      </vt:variant>
      <vt:variant>
        <vt:i4>5</vt:i4>
      </vt:variant>
      <vt:variant>
        <vt:lpwstr/>
      </vt:variant>
      <vt:variant>
        <vt:lpwstr>_Toc244945569</vt:lpwstr>
      </vt:variant>
      <vt:variant>
        <vt:i4>1638455</vt:i4>
      </vt:variant>
      <vt:variant>
        <vt:i4>92</vt:i4>
      </vt:variant>
      <vt:variant>
        <vt:i4>0</vt:i4>
      </vt:variant>
      <vt:variant>
        <vt:i4>5</vt:i4>
      </vt:variant>
      <vt:variant>
        <vt:lpwstr/>
      </vt:variant>
      <vt:variant>
        <vt:lpwstr>_Toc244945568</vt:lpwstr>
      </vt:variant>
      <vt:variant>
        <vt:i4>1638455</vt:i4>
      </vt:variant>
      <vt:variant>
        <vt:i4>86</vt:i4>
      </vt:variant>
      <vt:variant>
        <vt:i4>0</vt:i4>
      </vt:variant>
      <vt:variant>
        <vt:i4>5</vt:i4>
      </vt:variant>
      <vt:variant>
        <vt:lpwstr/>
      </vt:variant>
      <vt:variant>
        <vt:lpwstr>_Toc244945567</vt:lpwstr>
      </vt:variant>
      <vt:variant>
        <vt:i4>1638455</vt:i4>
      </vt:variant>
      <vt:variant>
        <vt:i4>80</vt:i4>
      </vt:variant>
      <vt:variant>
        <vt:i4>0</vt:i4>
      </vt:variant>
      <vt:variant>
        <vt:i4>5</vt:i4>
      </vt:variant>
      <vt:variant>
        <vt:lpwstr/>
      </vt:variant>
      <vt:variant>
        <vt:lpwstr>_Toc244945566</vt:lpwstr>
      </vt:variant>
      <vt:variant>
        <vt:i4>1638455</vt:i4>
      </vt:variant>
      <vt:variant>
        <vt:i4>74</vt:i4>
      </vt:variant>
      <vt:variant>
        <vt:i4>0</vt:i4>
      </vt:variant>
      <vt:variant>
        <vt:i4>5</vt:i4>
      </vt:variant>
      <vt:variant>
        <vt:lpwstr/>
      </vt:variant>
      <vt:variant>
        <vt:lpwstr>_Toc244945565</vt:lpwstr>
      </vt:variant>
      <vt:variant>
        <vt:i4>1638455</vt:i4>
      </vt:variant>
      <vt:variant>
        <vt:i4>68</vt:i4>
      </vt:variant>
      <vt:variant>
        <vt:i4>0</vt:i4>
      </vt:variant>
      <vt:variant>
        <vt:i4>5</vt:i4>
      </vt:variant>
      <vt:variant>
        <vt:lpwstr/>
      </vt:variant>
      <vt:variant>
        <vt:lpwstr>_Toc244945564</vt:lpwstr>
      </vt:variant>
      <vt:variant>
        <vt:i4>1638455</vt:i4>
      </vt:variant>
      <vt:variant>
        <vt:i4>62</vt:i4>
      </vt:variant>
      <vt:variant>
        <vt:i4>0</vt:i4>
      </vt:variant>
      <vt:variant>
        <vt:i4>5</vt:i4>
      </vt:variant>
      <vt:variant>
        <vt:lpwstr/>
      </vt:variant>
      <vt:variant>
        <vt:lpwstr>_Toc244945563</vt:lpwstr>
      </vt:variant>
      <vt:variant>
        <vt:i4>1638455</vt:i4>
      </vt:variant>
      <vt:variant>
        <vt:i4>56</vt:i4>
      </vt:variant>
      <vt:variant>
        <vt:i4>0</vt:i4>
      </vt:variant>
      <vt:variant>
        <vt:i4>5</vt:i4>
      </vt:variant>
      <vt:variant>
        <vt:lpwstr/>
      </vt:variant>
      <vt:variant>
        <vt:lpwstr>_Toc244945562</vt:lpwstr>
      </vt:variant>
      <vt:variant>
        <vt:i4>1638455</vt:i4>
      </vt:variant>
      <vt:variant>
        <vt:i4>50</vt:i4>
      </vt:variant>
      <vt:variant>
        <vt:i4>0</vt:i4>
      </vt:variant>
      <vt:variant>
        <vt:i4>5</vt:i4>
      </vt:variant>
      <vt:variant>
        <vt:lpwstr/>
      </vt:variant>
      <vt:variant>
        <vt:lpwstr>_Toc244945561</vt:lpwstr>
      </vt:variant>
      <vt:variant>
        <vt:i4>1638455</vt:i4>
      </vt:variant>
      <vt:variant>
        <vt:i4>44</vt:i4>
      </vt:variant>
      <vt:variant>
        <vt:i4>0</vt:i4>
      </vt:variant>
      <vt:variant>
        <vt:i4>5</vt:i4>
      </vt:variant>
      <vt:variant>
        <vt:lpwstr/>
      </vt:variant>
      <vt:variant>
        <vt:lpwstr>_Toc244945560</vt:lpwstr>
      </vt:variant>
      <vt:variant>
        <vt:i4>1703991</vt:i4>
      </vt:variant>
      <vt:variant>
        <vt:i4>38</vt:i4>
      </vt:variant>
      <vt:variant>
        <vt:i4>0</vt:i4>
      </vt:variant>
      <vt:variant>
        <vt:i4>5</vt:i4>
      </vt:variant>
      <vt:variant>
        <vt:lpwstr/>
      </vt:variant>
      <vt:variant>
        <vt:lpwstr>_Toc244945559</vt:lpwstr>
      </vt:variant>
      <vt:variant>
        <vt:i4>1703991</vt:i4>
      </vt:variant>
      <vt:variant>
        <vt:i4>32</vt:i4>
      </vt:variant>
      <vt:variant>
        <vt:i4>0</vt:i4>
      </vt:variant>
      <vt:variant>
        <vt:i4>5</vt:i4>
      </vt:variant>
      <vt:variant>
        <vt:lpwstr/>
      </vt:variant>
      <vt:variant>
        <vt:lpwstr>_Toc244945558</vt:lpwstr>
      </vt:variant>
      <vt:variant>
        <vt:i4>1703991</vt:i4>
      </vt:variant>
      <vt:variant>
        <vt:i4>26</vt:i4>
      </vt:variant>
      <vt:variant>
        <vt:i4>0</vt:i4>
      </vt:variant>
      <vt:variant>
        <vt:i4>5</vt:i4>
      </vt:variant>
      <vt:variant>
        <vt:lpwstr/>
      </vt:variant>
      <vt:variant>
        <vt:lpwstr>_Toc244945557</vt:lpwstr>
      </vt:variant>
      <vt:variant>
        <vt:i4>1703991</vt:i4>
      </vt:variant>
      <vt:variant>
        <vt:i4>20</vt:i4>
      </vt:variant>
      <vt:variant>
        <vt:i4>0</vt:i4>
      </vt:variant>
      <vt:variant>
        <vt:i4>5</vt:i4>
      </vt:variant>
      <vt:variant>
        <vt:lpwstr/>
      </vt:variant>
      <vt:variant>
        <vt:lpwstr>_Toc244945556</vt:lpwstr>
      </vt:variant>
      <vt:variant>
        <vt:i4>1703991</vt:i4>
      </vt:variant>
      <vt:variant>
        <vt:i4>14</vt:i4>
      </vt:variant>
      <vt:variant>
        <vt:i4>0</vt:i4>
      </vt:variant>
      <vt:variant>
        <vt:i4>5</vt:i4>
      </vt:variant>
      <vt:variant>
        <vt:lpwstr/>
      </vt:variant>
      <vt:variant>
        <vt:lpwstr>_Toc244945555</vt:lpwstr>
      </vt:variant>
      <vt:variant>
        <vt:i4>1703991</vt:i4>
      </vt:variant>
      <vt:variant>
        <vt:i4>8</vt:i4>
      </vt:variant>
      <vt:variant>
        <vt:i4>0</vt:i4>
      </vt:variant>
      <vt:variant>
        <vt:i4>5</vt:i4>
      </vt:variant>
      <vt:variant>
        <vt:lpwstr/>
      </vt:variant>
      <vt:variant>
        <vt:lpwstr>_Toc244945554</vt:lpwstr>
      </vt:variant>
      <vt:variant>
        <vt:i4>1703991</vt:i4>
      </vt:variant>
      <vt:variant>
        <vt:i4>2</vt:i4>
      </vt:variant>
      <vt:variant>
        <vt:i4>0</vt:i4>
      </vt:variant>
      <vt:variant>
        <vt:i4>5</vt:i4>
      </vt:variant>
      <vt:variant>
        <vt:lpwstr/>
      </vt:variant>
      <vt:variant>
        <vt:lpwstr>_Toc244945553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Markteintritt Strom</dc:title>
  <dc:subject>Umfassende Informatuionspaket für den Markteintritt</dc:subject>
  <dc:creator>mha</dc:creator>
  <cp:lastModifiedBy>Haberfellner Maria</cp:lastModifiedBy>
  <cp:revision>9</cp:revision>
  <cp:lastPrinted>2015-03-26T09:40:00Z</cp:lastPrinted>
  <dcterms:created xsi:type="dcterms:W3CDTF">2021-03-03T17:56:00Z</dcterms:created>
  <dcterms:modified xsi:type="dcterms:W3CDTF">2021-03-30T10:13:00Z</dcterms:modified>
</cp:coreProperties>
</file>